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C272D0" w14:textId="701D8826" w:rsidR="00462D0D" w:rsidRDefault="005F2E48" w:rsidP="005F2E48">
      <w:pPr>
        <w:tabs>
          <w:tab w:val="right" w:pos="9360"/>
        </w:tabs>
        <w:suppressAutoHyphens/>
        <w:ind w:left="2124"/>
        <w:rPr>
          <w:b/>
          <w:spacing w:val="-3"/>
          <w:lang w:val="en-US"/>
        </w:rPr>
      </w:pPr>
      <w:bookmarkStart w:id="0" w:name="_GoBack"/>
      <w:bookmarkEnd w:id="0"/>
      <w:r w:rsidRPr="005F2E48">
        <w:rPr>
          <w:b/>
          <w:noProof/>
          <w:spacing w:val="-3"/>
          <w:lang w:val="pt-PT" w:eastAsia="pt-PT"/>
        </w:rPr>
        <w:drawing>
          <wp:inline distT="0" distB="0" distL="0" distR="0" wp14:anchorId="53C224BC" wp14:editId="5B5E51C9">
            <wp:extent cx="1285240" cy="1095375"/>
            <wp:effectExtent l="0" t="0" r="0" b="9525"/>
            <wp:docPr id="1913867329" name="Imagem 4" descr="Government of Sao Tome and Princi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overno de São Tomé e Príncip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9217" cy="1098764"/>
                    </a:xfrm>
                    <a:prstGeom prst="rect">
                      <a:avLst/>
                    </a:prstGeom>
                    <a:noFill/>
                    <a:ln>
                      <a:noFill/>
                    </a:ln>
                  </pic:spPr>
                </pic:pic>
              </a:graphicData>
            </a:graphic>
          </wp:inline>
        </w:drawing>
      </w:r>
      <w:r w:rsidR="00462D0D" w:rsidRPr="0074077E">
        <w:rPr>
          <w:noProof/>
          <w:lang w:val="pt-PT" w:eastAsia="pt-PT"/>
        </w:rPr>
        <w:drawing>
          <wp:inline distT="0" distB="0" distL="0" distR="0" wp14:anchorId="1F5D779D" wp14:editId="70B78004">
            <wp:extent cx="1543050" cy="771525"/>
            <wp:effectExtent l="0" t="0" r="0" b="9525"/>
            <wp:docPr id="1321550678"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3050" cy="771525"/>
                    </a:xfrm>
                    <a:prstGeom prst="rect">
                      <a:avLst/>
                    </a:prstGeom>
                    <a:noFill/>
                    <a:ln>
                      <a:noFill/>
                    </a:ln>
                  </pic:spPr>
                </pic:pic>
              </a:graphicData>
            </a:graphic>
          </wp:inline>
        </w:drawing>
      </w:r>
    </w:p>
    <w:p w14:paraId="41BB78EB" w14:textId="77777777" w:rsidR="00462D0D" w:rsidRDefault="00462D0D" w:rsidP="00462D0D">
      <w:pPr>
        <w:tabs>
          <w:tab w:val="right" w:pos="9360"/>
        </w:tabs>
        <w:suppressAutoHyphens/>
        <w:jc w:val="both"/>
        <w:rPr>
          <w:b/>
          <w:spacing w:val="-3"/>
          <w:lang w:val="en-US"/>
        </w:rPr>
      </w:pPr>
    </w:p>
    <w:p w14:paraId="034D1006" w14:textId="4BA31C8C" w:rsidR="00F32FC5" w:rsidRPr="00F32FC5" w:rsidRDefault="00F32FC5" w:rsidP="00943057">
      <w:pPr>
        <w:tabs>
          <w:tab w:val="center" w:pos="4680"/>
        </w:tabs>
        <w:suppressAutoHyphens/>
        <w:jc w:val="center"/>
        <w:rPr>
          <w:b/>
          <w:spacing w:val="-3"/>
          <w:lang w:val="pt-PT"/>
        </w:rPr>
      </w:pPr>
      <w:r w:rsidRPr="00F32FC5">
        <w:rPr>
          <w:b/>
          <w:spacing w:val="-3"/>
        </w:rPr>
        <w:t xml:space="preserve">GENERAL </w:t>
      </w:r>
      <w:r w:rsidR="00943057">
        <w:rPr>
          <w:b/>
          <w:spacing w:val="-3"/>
        </w:rPr>
        <w:t xml:space="preserve">PROCUREMENT </w:t>
      </w:r>
      <w:r w:rsidRPr="00F32FC5">
        <w:rPr>
          <w:b/>
          <w:spacing w:val="-3"/>
        </w:rPr>
        <w:t>NOTICE</w:t>
      </w:r>
    </w:p>
    <w:tbl>
      <w:tblPr>
        <w:tblW w:w="9361" w:type="dxa"/>
        <w:tblInd w:w="119" w:type="dxa"/>
        <w:tblLayout w:type="fixed"/>
        <w:tblCellMar>
          <w:left w:w="120" w:type="dxa"/>
          <w:right w:w="120" w:type="dxa"/>
        </w:tblCellMar>
        <w:tblLook w:val="0000" w:firstRow="0" w:lastRow="0" w:firstColumn="0" w:lastColumn="0" w:noHBand="0" w:noVBand="0"/>
      </w:tblPr>
      <w:tblGrid>
        <w:gridCol w:w="3260"/>
        <w:gridCol w:w="3090"/>
        <w:gridCol w:w="3011"/>
      </w:tblGrid>
      <w:tr w:rsidR="00462D0D" w:rsidRPr="00897A4A" w14:paraId="276EEC7B" w14:textId="77777777" w:rsidTr="0009390F">
        <w:tc>
          <w:tcPr>
            <w:tcW w:w="9361" w:type="dxa"/>
            <w:gridSpan w:val="3"/>
            <w:tcBorders>
              <w:top w:val="double" w:sz="6" w:space="0" w:color="auto"/>
              <w:left w:val="double" w:sz="6" w:space="0" w:color="auto"/>
              <w:bottom w:val="double" w:sz="6" w:space="0" w:color="auto"/>
              <w:right w:val="single" w:sz="4" w:space="0" w:color="auto"/>
            </w:tcBorders>
          </w:tcPr>
          <w:p w14:paraId="46578AA6" w14:textId="4B8B0F89" w:rsidR="00462D0D" w:rsidRPr="00F366B8" w:rsidRDefault="00FF6B50" w:rsidP="00F366B8">
            <w:pPr>
              <w:tabs>
                <w:tab w:val="center" w:pos="4560"/>
              </w:tabs>
              <w:suppressAutoHyphens/>
              <w:spacing w:before="90" w:after="54"/>
              <w:jc w:val="center"/>
              <w:rPr>
                <w:spacing w:val="-3"/>
                <w:lang w:val="en-US"/>
              </w:rPr>
            </w:pPr>
            <w:r w:rsidRPr="00B67B12">
              <w:rPr>
                <w:b/>
                <w:bCs/>
                <w:spacing w:val="-3"/>
              </w:rPr>
              <w:t>Democratic Republic of São Tomé and Príncipe</w:t>
            </w:r>
          </w:p>
        </w:tc>
      </w:tr>
      <w:tr w:rsidR="00462D0D" w:rsidRPr="0009390F" w14:paraId="04F7E318" w14:textId="77777777" w:rsidTr="0009390F">
        <w:tc>
          <w:tcPr>
            <w:tcW w:w="9361" w:type="dxa"/>
            <w:gridSpan w:val="3"/>
            <w:tcBorders>
              <w:top w:val="double" w:sz="6" w:space="0" w:color="auto"/>
              <w:left w:val="double" w:sz="6" w:space="0" w:color="auto"/>
              <w:bottom w:val="double" w:sz="6" w:space="0" w:color="auto"/>
              <w:right w:val="single" w:sz="4" w:space="0" w:color="auto"/>
            </w:tcBorders>
          </w:tcPr>
          <w:p w14:paraId="6572ECEB" w14:textId="30DFCB18" w:rsidR="00462D0D" w:rsidRPr="00560178" w:rsidRDefault="0009390F" w:rsidP="00152D11">
            <w:pPr>
              <w:tabs>
                <w:tab w:val="center" w:pos="4560"/>
              </w:tabs>
              <w:suppressAutoHyphens/>
              <w:spacing w:before="90" w:after="54"/>
              <w:rPr>
                <w:spacing w:val="-3"/>
                <w:lang w:val="en-US"/>
              </w:rPr>
            </w:pPr>
            <w:r w:rsidRPr="0009390F">
              <w:rPr>
                <w:noProof/>
                <w:spacing w:val="-3"/>
                <w:lang w:val="pt-PT" w:eastAsia="pt-PT"/>
                <w14:ligatures w14:val="standardContextual"/>
              </w:rPr>
              <mc:AlternateContent>
                <mc:Choice Requires="wps">
                  <w:drawing>
                    <wp:anchor distT="0" distB="0" distL="114300" distR="114300" simplePos="0" relativeHeight="251659264" behindDoc="0" locked="0" layoutInCell="1" allowOverlap="1" wp14:anchorId="317C8804" wp14:editId="4563C973">
                      <wp:simplePos x="0" y="0"/>
                      <wp:positionH relativeFrom="column">
                        <wp:posOffset>5858510</wp:posOffset>
                      </wp:positionH>
                      <wp:positionV relativeFrom="paragraph">
                        <wp:posOffset>62230</wp:posOffset>
                      </wp:positionV>
                      <wp:extent cx="0" cy="752475"/>
                      <wp:effectExtent l="0" t="0" r="38100" b="28575"/>
                      <wp:wrapNone/>
                      <wp:docPr id="1616684907" name="Conexão reta 1"/>
                      <wp:cNvGraphicFramePr/>
                      <a:graphic xmlns:a="http://schemas.openxmlformats.org/drawingml/2006/main">
                        <a:graphicData uri="http://schemas.microsoft.com/office/word/2010/wordprocessingShape">
                          <wps:wsp>
                            <wps:cNvCnPr/>
                            <wps:spPr>
                              <a:xfrm>
                                <a:off x="0" y="0"/>
                                <a:ext cx="0" cy="7524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Conexão reta 1"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" from="461.3pt,4.9pt" to="461.3pt,64.15pt" w14:anchorId="76071D85">
                      <v:stroke joinstyle="miter"/>
                    </v:line>
                  </w:pict>
                </mc:Fallback>
              </mc:AlternateContent>
            </w:r>
            <w:r w:rsidR="001C02E0" w:rsidRPr="00F32FC5">
              <w:rPr>
                <w:spacing w:val="-3"/>
              </w:rPr>
              <w:t>Institutional Support Project for Customs and Public Expenditure Management (</w:t>
            </w:r>
            <w:r w:rsidR="00270F3E">
              <w:rPr>
                <w:b/>
                <w:bCs/>
                <w:spacing w:val="-3"/>
              </w:rPr>
              <w:t>ISP-CAPEM)</w:t>
            </w:r>
            <w:r w:rsidR="00F32FC5" w:rsidRPr="00F32FC5">
              <w:rPr>
                <w:b/>
                <w:bCs/>
                <w:spacing w:val="-3"/>
              </w:rPr>
              <w:t>)</w:t>
            </w:r>
          </w:p>
        </w:tc>
      </w:tr>
      <w:tr w:rsidR="001C02E0" w:rsidRPr="0009390F" w14:paraId="20805259" w14:textId="5018AA94" w:rsidTr="0009390F">
        <w:tblPrEx>
          <w:jc w:val="center"/>
          <w:tblInd w:w="0" w:type="dxa"/>
        </w:tblPrEx>
        <w:trPr>
          <w:gridAfter w:val="1"/>
          <w:wAfter w:w="3011" w:type="dxa"/>
          <w:jc w:val="center"/>
        </w:trPr>
        <w:tc>
          <w:tcPr>
            <w:tcW w:w="3260" w:type="dxa"/>
            <w:tcBorders>
              <w:top w:val="double" w:sz="6" w:space="0" w:color="auto"/>
              <w:left w:val="double" w:sz="6" w:space="0" w:color="auto"/>
              <w:bottom w:val="double" w:sz="6" w:space="0" w:color="auto"/>
              <w:right w:val="double" w:sz="6" w:space="0" w:color="auto"/>
            </w:tcBorders>
          </w:tcPr>
          <w:p w14:paraId="34CFBC87" w14:textId="59F97881" w:rsidR="001C02E0" w:rsidRPr="00475E4A" w:rsidRDefault="00FF6B50" w:rsidP="001C02E0">
            <w:pPr>
              <w:tabs>
                <w:tab w:val="center" w:pos="1402"/>
              </w:tabs>
              <w:suppressAutoHyphens/>
              <w:spacing w:before="90" w:after="54"/>
              <w:rPr>
                <w:spacing w:val="-3"/>
              </w:rPr>
            </w:pPr>
            <w:r w:rsidRPr="00B67B12">
              <w:rPr>
                <w:b/>
                <w:bCs/>
                <w:spacing w:val="-3"/>
              </w:rPr>
              <w:t>Project ID</w:t>
            </w:r>
            <w:r>
              <w:rPr>
                <w:spacing w:val="-3"/>
              </w:rPr>
              <w:t>:</w:t>
            </w:r>
            <w:r w:rsidR="00475E4A" w:rsidRPr="00475E4A">
              <w:rPr>
                <w:rFonts w:ascii="Times New Roman" w:hAnsi="Times New Roman"/>
                <w:spacing w:val="-3"/>
                <w:szCs w:val="24"/>
              </w:rPr>
              <w:t xml:space="preserve"> </w:t>
            </w:r>
            <w:r w:rsidR="00475E4A" w:rsidRPr="00475E4A">
              <w:rPr>
                <w:spacing w:val="-3"/>
              </w:rPr>
              <w:t>P-ST-KF0-004</w:t>
            </w:r>
          </w:p>
        </w:tc>
        <w:tc>
          <w:tcPr>
            <w:tcW w:w="3090" w:type="dxa"/>
          </w:tcPr>
          <w:p w14:paraId="5D54E314" w14:textId="77777777" w:rsidR="001C02E0" w:rsidRPr="00F366B8" w:rsidRDefault="001C02E0" w:rsidP="001C02E0">
            <w:pPr>
              <w:widowControl/>
              <w:spacing w:after="160" w:line="259" w:lineRule="auto"/>
              <w:rPr>
                <w:spacing w:val="-3"/>
                <w:lang w:val="en-US"/>
              </w:rPr>
            </w:pPr>
          </w:p>
        </w:tc>
      </w:tr>
      <w:tr w:rsidR="001C02E0" w:rsidRPr="00897A4A" w14:paraId="1A6E02C6" w14:textId="77777777" w:rsidTr="0009390F">
        <w:tc>
          <w:tcPr>
            <w:tcW w:w="9361" w:type="dxa"/>
            <w:gridSpan w:val="3"/>
            <w:tcBorders>
              <w:top w:val="double" w:sz="6" w:space="0" w:color="auto"/>
              <w:left w:val="double" w:sz="6" w:space="0" w:color="auto"/>
              <w:bottom w:val="double" w:sz="6" w:space="0" w:color="auto"/>
              <w:right w:val="single" w:sz="4" w:space="0" w:color="auto"/>
            </w:tcBorders>
          </w:tcPr>
          <w:p w14:paraId="602D3139" w14:textId="6CFF1F3E" w:rsidR="00897A4A" w:rsidRPr="006D0380" w:rsidRDefault="00897A4A" w:rsidP="00F366B8">
            <w:pPr>
              <w:jc w:val="center"/>
            </w:pPr>
            <w:r w:rsidRPr="00897A4A">
              <w:rPr>
                <w:rFonts w:cstheme="majorHAnsi"/>
                <w:b/>
                <w:bCs/>
                <w:color w:val="000000" w:themeColor="text1"/>
                <w:szCs w:val="24"/>
              </w:rPr>
              <w:t xml:space="preserve">GENERAL </w:t>
            </w:r>
            <w:r w:rsidR="00943057">
              <w:rPr>
                <w:rFonts w:cstheme="majorHAnsi"/>
                <w:b/>
                <w:bCs/>
                <w:color w:val="000000" w:themeColor="text1"/>
                <w:szCs w:val="24"/>
              </w:rPr>
              <w:t>PROCUREMENT</w:t>
            </w:r>
            <w:r w:rsidR="00943057" w:rsidRPr="00897A4A">
              <w:rPr>
                <w:rFonts w:cstheme="majorHAnsi"/>
                <w:b/>
                <w:bCs/>
                <w:color w:val="000000" w:themeColor="text1"/>
                <w:szCs w:val="24"/>
              </w:rPr>
              <w:t xml:space="preserve"> </w:t>
            </w:r>
            <w:r w:rsidRPr="00897A4A">
              <w:rPr>
                <w:rFonts w:cstheme="majorHAnsi"/>
                <w:b/>
                <w:bCs/>
                <w:color w:val="000000" w:themeColor="text1"/>
                <w:szCs w:val="24"/>
              </w:rPr>
              <w:t>NOTICE</w:t>
            </w:r>
          </w:p>
          <w:p w14:paraId="0FFFC72C" w14:textId="1C9D1323" w:rsidR="00897A4A" w:rsidRPr="00F366B8" w:rsidRDefault="00897A4A" w:rsidP="00F366B8">
            <w:pPr>
              <w:pStyle w:val="PargrafodaLista"/>
              <w:numPr>
                <w:ilvl w:val="0"/>
                <w:numId w:val="1"/>
              </w:numPr>
              <w:spacing w:before="2" w:line="276" w:lineRule="auto"/>
              <w:jc w:val="both"/>
              <w:rPr>
                <w:rFonts w:asciiTheme="majorHAnsi" w:hAnsiTheme="majorHAnsi" w:cstheme="majorHAnsi"/>
                <w:spacing w:val="-3"/>
                <w:sz w:val="22"/>
                <w:szCs w:val="22"/>
                <w:lang w:val="en-US"/>
              </w:rPr>
            </w:pPr>
            <w:r w:rsidRPr="00560178">
              <w:rPr>
                <w:rFonts w:asciiTheme="majorHAnsi" w:hAnsiTheme="majorHAnsi" w:cstheme="majorHAnsi"/>
                <w:color w:val="000000" w:themeColor="text1"/>
                <w:sz w:val="22"/>
                <w:szCs w:val="22"/>
                <w:lang w:val="en-US"/>
              </w:rPr>
              <w:t xml:space="preserve">The Government of the Democratic Republic of São Tomé and Príncipe has received a grant of UA 5.0 million from the African Development </w:t>
            </w:r>
            <w:r w:rsidR="00560178">
              <w:rPr>
                <w:rFonts w:asciiTheme="majorHAnsi" w:hAnsiTheme="majorHAnsi" w:cstheme="majorHAnsi"/>
                <w:color w:val="000000" w:themeColor="text1"/>
                <w:sz w:val="22"/>
                <w:szCs w:val="22"/>
                <w:lang w:val="en-US"/>
              </w:rPr>
              <w:t xml:space="preserve">Fund (ADF) </w:t>
            </w:r>
            <w:r w:rsidR="00560178">
              <w:rPr>
                <w:spacing w:val="-2"/>
                <w:lang w:val="en-GB" w:eastAsia="ar-SA"/>
              </w:rPr>
              <w:t xml:space="preserve">and African Development Bank (AfDB) as administrators of the Transitional Support Facility </w:t>
            </w:r>
            <w:r w:rsidR="00943057">
              <w:rPr>
                <w:spacing w:val="-2"/>
                <w:lang w:val="en-GB" w:eastAsia="ar-SA"/>
              </w:rPr>
              <w:t>D</w:t>
            </w:r>
            <w:r w:rsidR="00560178">
              <w:rPr>
                <w:spacing w:val="-2"/>
                <w:lang w:val="en-GB" w:eastAsia="ar-SA"/>
              </w:rPr>
              <w:t>(TSF</w:t>
            </w:r>
            <w:r w:rsidR="00B17291">
              <w:rPr>
                <w:spacing w:val="-2"/>
                <w:lang w:val="en-GB" w:eastAsia="ar-SA"/>
              </w:rPr>
              <w:t>)</w:t>
            </w:r>
            <w:r w:rsidR="00B17291" w:rsidRPr="00F366B8">
              <w:rPr>
                <w:iCs/>
                <w:lang w:val="en-US"/>
              </w:rPr>
              <w:t xml:space="preserve">, </w:t>
            </w:r>
            <w:r w:rsidR="00B17291" w:rsidRPr="00560178">
              <w:rPr>
                <w:rFonts w:asciiTheme="majorHAnsi" w:hAnsiTheme="majorHAnsi" w:cstheme="majorHAnsi"/>
                <w:color w:val="000000" w:themeColor="text1"/>
                <w:sz w:val="22"/>
                <w:szCs w:val="22"/>
                <w:lang w:val="en-US"/>
              </w:rPr>
              <w:t>to</w:t>
            </w:r>
            <w:r w:rsidRPr="00560178">
              <w:rPr>
                <w:rFonts w:asciiTheme="majorHAnsi" w:hAnsiTheme="majorHAnsi" w:cstheme="majorHAnsi"/>
                <w:color w:val="000000" w:themeColor="text1"/>
                <w:sz w:val="22"/>
                <w:szCs w:val="22"/>
                <w:lang w:val="en-US"/>
              </w:rPr>
              <w:t xml:space="preserve"> finance the Institutional Administration Support Project for Customs and Public Expenditure Management (</w:t>
            </w:r>
            <w:r w:rsidR="00560178">
              <w:rPr>
                <w:rFonts w:asciiTheme="majorHAnsi" w:hAnsiTheme="majorHAnsi" w:cstheme="majorHAnsi"/>
                <w:color w:val="000000" w:themeColor="text1"/>
                <w:sz w:val="22"/>
                <w:szCs w:val="22"/>
                <w:lang w:val="en-US"/>
              </w:rPr>
              <w:t>ISP-CAPEM</w:t>
            </w:r>
            <w:r w:rsidRPr="00560178">
              <w:rPr>
                <w:rFonts w:asciiTheme="majorHAnsi" w:hAnsiTheme="majorHAnsi" w:cstheme="majorHAnsi"/>
                <w:color w:val="000000" w:themeColor="text1"/>
                <w:sz w:val="22"/>
                <w:szCs w:val="22"/>
                <w:lang w:val="en-US"/>
              </w:rPr>
              <w:t xml:space="preserve">). </w:t>
            </w:r>
          </w:p>
          <w:p w14:paraId="2B7A1021" w14:textId="7274A1C0" w:rsidR="00897A4A" w:rsidRPr="00F366B8" w:rsidRDefault="00897A4A" w:rsidP="00F366B8">
            <w:pPr>
              <w:pStyle w:val="PargrafodaLista"/>
              <w:numPr>
                <w:ilvl w:val="0"/>
                <w:numId w:val="1"/>
              </w:numPr>
              <w:tabs>
                <w:tab w:val="center" w:pos="4560"/>
              </w:tabs>
              <w:suppressAutoHyphens/>
              <w:spacing w:line="276" w:lineRule="auto"/>
              <w:jc w:val="both"/>
              <w:rPr>
                <w:rFonts w:asciiTheme="majorHAnsi" w:hAnsiTheme="majorHAnsi" w:cstheme="majorHAnsi"/>
                <w:color w:val="000000" w:themeColor="text1"/>
                <w:sz w:val="22"/>
                <w:szCs w:val="22"/>
                <w:lang w:val="en-US"/>
              </w:rPr>
            </w:pPr>
            <w:r w:rsidRPr="00560178">
              <w:rPr>
                <w:rFonts w:asciiTheme="majorHAnsi" w:hAnsiTheme="majorHAnsi" w:cstheme="majorHAnsi"/>
                <w:sz w:val="22"/>
                <w:szCs w:val="22"/>
                <w:lang w:val="en-US"/>
              </w:rPr>
              <w:t>This project aims to improve revenue collection and strengthen public expenditure management capacity, through the modernization of customs administration, improvement of public expenditure management and supervision. This will be done through:  (</w:t>
            </w:r>
            <w:r w:rsidRPr="00560178">
              <w:rPr>
                <w:rFonts w:asciiTheme="majorHAnsi" w:hAnsiTheme="majorHAnsi" w:cstheme="majorHAnsi"/>
                <w:b/>
                <w:bCs/>
                <w:sz w:val="22"/>
                <w:szCs w:val="22"/>
                <w:lang w:val="en-US"/>
              </w:rPr>
              <w:t>a</w:t>
            </w:r>
            <w:r w:rsidRPr="00560178">
              <w:rPr>
                <w:rFonts w:asciiTheme="majorHAnsi" w:hAnsiTheme="majorHAnsi" w:cstheme="majorHAnsi"/>
                <w:sz w:val="22"/>
                <w:szCs w:val="22"/>
                <w:lang w:val="en-US"/>
              </w:rPr>
              <w:t xml:space="preserve">) the modernization of customs administration and the sustainable management of public debt with the aim of increasing the collection of trade revenues, improving the efficiency and effectiveness of the control of legitimate business operations, and preventing the growth of public debt to unsustainable levels; and </w:t>
            </w:r>
            <w:r w:rsidRPr="00560178">
              <w:rPr>
                <w:rFonts w:asciiTheme="majorHAnsi" w:hAnsiTheme="majorHAnsi" w:cstheme="majorHAnsi"/>
                <w:b/>
                <w:bCs/>
                <w:sz w:val="22"/>
                <w:szCs w:val="22"/>
                <w:lang w:val="en-US"/>
              </w:rPr>
              <w:t xml:space="preserve">(b) </w:t>
            </w:r>
            <w:r w:rsidRPr="00560178">
              <w:rPr>
                <w:rFonts w:asciiTheme="majorHAnsi" w:hAnsiTheme="majorHAnsi" w:cstheme="majorHAnsi"/>
                <w:sz w:val="22"/>
                <w:szCs w:val="22"/>
                <w:lang w:val="en-US"/>
              </w:rPr>
              <w:t>Strengthening the management and oversight of public expenditure through the design and modernization of financial management systems and strengthening transparency and accountability in the use of public resources.</w:t>
            </w:r>
          </w:p>
          <w:p w14:paraId="431BC054" w14:textId="6F8654FC" w:rsidR="00897A4A" w:rsidRPr="00F366B8" w:rsidRDefault="00897A4A" w:rsidP="00F366B8">
            <w:pPr>
              <w:pStyle w:val="PargrafodaLista"/>
              <w:numPr>
                <w:ilvl w:val="0"/>
                <w:numId w:val="1"/>
              </w:numPr>
              <w:spacing w:line="276" w:lineRule="auto"/>
              <w:jc w:val="both"/>
              <w:rPr>
                <w:rFonts w:asciiTheme="majorHAnsi" w:hAnsiTheme="majorHAnsi" w:cstheme="majorHAnsi"/>
                <w:color w:val="000000" w:themeColor="text1"/>
                <w:sz w:val="22"/>
                <w:szCs w:val="22"/>
                <w:lang w:val="en-US"/>
              </w:rPr>
            </w:pPr>
            <w:r w:rsidRPr="00560178">
              <w:rPr>
                <w:rFonts w:asciiTheme="majorHAnsi" w:hAnsiTheme="majorHAnsi" w:cstheme="majorHAnsi"/>
                <w:color w:val="000000" w:themeColor="text1"/>
                <w:sz w:val="22"/>
                <w:szCs w:val="22"/>
                <w:lang w:val="en-US"/>
              </w:rPr>
              <w:t xml:space="preserve">The project will be implemented over a period of </w:t>
            </w:r>
            <w:r w:rsidR="00560178">
              <w:rPr>
                <w:rFonts w:asciiTheme="majorHAnsi" w:hAnsiTheme="majorHAnsi" w:cstheme="majorHAnsi"/>
                <w:color w:val="000000" w:themeColor="text1"/>
                <w:sz w:val="22"/>
                <w:szCs w:val="22"/>
                <w:lang w:val="en-US"/>
              </w:rPr>
              <w:t>four</w:t>
            </w:r>
            <w:r w:rsidR="00560178" w:rsidRPr="00560178">
              <w:rPr>
                <w:rFonts w:asciiTheme="majorHAnsi" w:hAnsiTheme="majorHAnsi" w:cstheme="majorHAnsi"/>
                <w:color w:val="000000" w:themeColor="text1"/>
                <w:sz w:val="22"/>
                <w:szCs w:val="22"/>
                <w:lang w:val="en-US"/>
              </w:rPr>
              <w:t xml:space="preserve"> </w:t>
            </w:r>
            <w:r w:rsidRPr="00560178">
              <w:rPr>
                <w:rFonts w:asciiTheme="majorHAnsi" w:hAnsiTheme="majorHAnsi" w:cstheme="majorHAnsi"/>
                <w:color w:val="000000" w:themeColor="text1"/>
                <w:sz w:val="22"/>
                <w:szCs w:val="22"/>
                <w:lang w:val="en-US"/>
              </w:rPr>
              <w:t xml:space="preserve">years. The Ministry of </w:t>
            </w:r>
            <w:r w:rsidR="00B17291" w:rsidRPr="00560178">
              <w:rPr>
                <w:rFonts w:asciiTheme="majorHAnsi" w:hAnsiTheme="majorHAnsi" w:cstheme="majorHAnsi"/>
                <w:color w:val="000000" w:themeColor="text1"/>
                <w:sz w:val="22"/>
                <w:szCs w:val="22"/>
                <w:lang w:val="en-US"/>
              </w:rPr>
              <w:t>Planning</w:t>
            </w:r>
            <w:r w:rsidR="00B17291">
              <w:rPr>
                <w:rFonts w:asciiTheme="majorHAnsi" w:hAnsiTheme="majorHAnsi" w:cstheme="majorHAnsi"/>
                <w:color w:val="000000" w:themeColor="text1"/>
                <w:sz w:val="22"/>
                <w:szCs w:val="22"/>
                <w:lang w:val="en-US"/>
              </w:rPr>
              <w:t xml:space="preserve">, </w:t>
            </w:r>
            <w:r w:rsidR="00B17291" w:rsidRPr="00560178">
              <w:rPr>
                <w:rFonts w:asciiTheme="majorHAnsi" w:hAnsiTheme="majorHAnsi" w:cstheme="majorHAnsi"/>
                <w:color w:val="000000" w:themeColor="text1"/>
                <w:sz w:val="22"/>
                <w:szCs w:val="22"/>
                <w:lang w:val="en-US"/>
              </w:rPr>
              <w:t>Finance</w:t>
            </w:r>
            <w:r w:rsidRPr="00560178">
              <w:rPr>
                <w:rFonts w:asciiTheme="majorHAnsi" w:hAnsiTheme="majorHAnsi" w:cstheme="majorHAnsi"/>
                <w:color w:val="000000" w:themeColor="text1"/>
                <w:sz w:val="22"/>
                <w:szCs w:val="22"/>
                <w:lang w:val="en-US"/>
              </w:rPr>
              <w:t xml:space="preserve"> </w:t>
            </w:r>
            <w:r w:rsidR="00560178">
              <w:rPr>
                <w:rFonts w:asciiTheme="majorHAnsi" w:hAnsiTheme="majorHAnsi" w:cstheme="majorHAnsi"/>
                <w:color w:val="000000" w:themeColor="text1"/>
                <w:sz w:val="22"/>
                <w:szCs w:val="22"/>
                <w:lang w:val="en-US"/>
              </w:rPr>
              <w:t xml:space="preserve">and Blue Economy </w:t>
            </w:r>
            <w:r w:rsidRPr="00560178">
              <w:rPr>
                <w:rFonts w:asciiTheme="majorHAnsi" w:hAnsiTheme="majorHAnsi" w:cstheme="majorHAnsi"/>
                <w:sz w:val="22"/>
                <w:szCs w:val="22"/>
                <w:lang w:val="en-US"/>
              </w:rPr>
              <w:t>(MPF</w:t>
            </w:r>
            <w:r w:rsidR="00560178">
              <w:rPr>
                <w:rFonts w:asciiTheme="majorHAnsi" w:hAnsiTheme="majorHAnsi" w:cstheme="majorHAnsi"/>
                <w:sz w:val="22"/>
                <w:szCs w:val="22"/>
                <w:lang w:val="en-US"/>
              </w:rPr>
              <w:t>BE</w:t>
            </w:r>
            <w:r w:rsidRPr="00560178">
              <w:rPr>
                <w:rFonts w:asciiTheme="majorHAnsi" w:hAnsiTheme="majorHAnsi" w:cstheme="majorHAnsi"/>
                <w:sz w:val="22"/>
                <w:szCs w:val="22"/>
                <w:lang w:val="en-US"/>
              </w:rPr>
              <w:t xml:space="preserve">) </w:t>
            </w:r>
            <w:r w:rsidRPr="00560178">
              <w:rPr>
                <w:rFonts w:asciiTheme="majorHAnsi" w:hAnsiTheme="majorHAnsi" w:cstheme="majorHAnsi"/>
                <w:color w:val="000000" w:themeColor="text1"/>
                <w:sz w:val="22"/>
                <w:szCs w:val="22"/>
                <w:lang w:val="en-US"/>
              </w:rPr>
              <w:t xml:space="preserve">is the implementing </w:t>
            </w:r>
            <w:r w:rsidR="00560178">
              <w:rPr>
                <w:rFonts w:asciiTheme="majorHAnsi" w:hAnsiTheme="majorHAnsi" w:cstheme="majorHAnsi"/>
                <w:color w:val="000000" w:themeColor="text1"/>
                <w:sz w:val="22"/>
                <w:szCs w:val="22"/>
                <w:lang w:val="en-US"/>
              </w:rPr>
              <w:t>agency</w:t>
            </w:r>
            <w:r w:rsidRPr="00560178">
              <w:rPr>
                <w:rFonts w:asciiTheme="majorHAnsi" w:hAnsiTheme="majorHAnsi" w:cstheme="majorHAnsi"/>
                <w:color w:val="000000" w:themeColor="text1"/>
                <w:sz w:val="22"/>
                <w:szCs w:val="22"/>
                <w:lang w:val="en-US"/>
              </w:rPr>
              <w:t xml:space="preserve">. </w:t>
            </w:r>
            <w:r w:rsidRPr="00560178">
              <w:rPr>
                <w:rFonts w:asciiTheme="majorHAnsi" w:hAnsiTheme="majorHAnsi" w:cstheme="majorHAnsi"/>
                <w:sz w:val="22"/>
                <w:szCs w:val="22"/>
                <w:lang w:val="en-US"/>
              </w:rPr>
              <w:t>The direct beneficiaries of the project include the MPF</w:t>
            </w:r>
            <w:r w:rsidR="00560178">
              <w:rPr>
                <w:rFonts w:asciiTheme="majorHAnsi" w:hAnsiTheme="majorHAnsi" w:cstheme="majorHAnsi"/>
                <w:sz w:val="22"/>
                <w:szCs w:val="22"/>
                <w:lang w:val="en-US"/>
              </w:rPr>
              <w:t>BE</w:t>
            </w:r>
            <w:r w:rsidRPr="00560178">
              <w:rPr>
                <w:rFonts w:asciiTheme="majorHAnsi" w:hAnsiTheme="majorHAnsi" w:cstheme="majorHAnsi"/>
                <w:sz w:val="22"/>
                <w:szCs w:val="22"/>
                <w:lang w:val="en-US"/>
              </w:rPr>
              <w:t xml:space="preserve"> (Public Debt Sector Management Office, Directorate General of </w:t>
            </w:r>
            <w:r w:rsidRPr="00560178">
              <w:rPr>
                <w:rFonts w:asciiTheme="majorHAnsi" w:hAnsiTheme="majorHAnsi" w:cstheme="majorHAnsi"/>
                <w:bCs/>
                <w:sz w:val="22"/>
                <w:szCs w:val="22"/>
                <w:lang w:val="en-US"/>
              </w:rPr>
              <w:t xml:space="preserve">Customs, General </w:t>
            </w:r>
            <w:r w:rsidRPr="00560178">
              <w:rPr>
                <w:rFonts w:asciiTheme="majorHAnsi" w:hAnsiTheme="majorHAnsi" w:cstheme="majorHAnsi"/>
                <w:sz w:val="22"/>
                <w:szCs w:val="22"/>
                <w:lang w:val="en-US"/>
              </w:rPr>
              <w:t>Inspectorate of Finance (Internal Control), Office for the Coordination and Monitoring of the Tender System (COSSIL), the Court of Auditors (ToC) and the Financial Intelligence Unit (UIF).</w:t>
            </w:r>
          </w:p>
          <w:p w14:paraId="1AAE34DA" w14:textId="3E4F6967" w:rsidR="00897A4A" w:rsidRPr="00560178" w:rsidRDefault="00897A4A" w:rsidP="00897A4A">
            <w:pPr>
              <w:pStyle w:val="PargrafodaLista"/>
              <w:numPr>
                <w:ilvl w:val="0"/>
                <w:numId w:val="1"/>
              </w:numPr>
              <w:spacing w:before="2" w:line="276" w:lineRule="auto"/>
              <w:jc w:val="both"/>
              <w:rPr>
                <w:rFonts w:asciiTheme="majorHAnsi" w:hAnsiTheme="majorHAnsi" w:cstheme="majorHAnsi"/>
                <w:sz w:val="22"/>
                <w:szCs w:val="22"/>
                <w:lang w:val="en-US"/>
              </w:rPr>
            </w:pPr>
            <w:r w:rsidRPr="00560178">
              <w:rPr>
                <w:rFonts w:asciiTheme="majorHAnsi" w:hAnsiTheme="majorHAnsi" w:cstheme="majorHAnsi"/>
                <w:color w:val="000000" w:themeColor="text1"/>
                <w:sz w:val="22"/>
                <w:szCs w:val="22"/>
                <w:lang w:val="en-US"/>
              </w:rPr>
              <w:t xml:space="preserve">A Project Management Unit (PMU) has been established within the </w:t>
            </w:r>
            <w:r w:rsidR="00B17291">
              <w:rPr>
                <w:rFonts w:asciiTheme="majorHAnsi" w:hAnsiTheme="majorHAnsi" w:cstheme="majorHAnsi"/>
                <w:color w:val="000000" w:themeColor="text1"/>
                <w:sz w:val="22"/>
                <w:szCs w:val="22"/>
                <w:lang w:val="en-US"/>
              </w:rPr>
              <w:t xml:space="preserve">Ministry </w:t>
            </w:r>
            <w:r w:rsidR="00B17291" w:rsidRPr="00560178">
              <w:rPr>
                <w:rFonts w:asciiTheme="majorHAnsi" w:hAnsiTheme="majorHAnsi" w:cstheme="majorHAnsi"/>
                <w:color w:val="000000" w:themeColor="text1"/>
                <w:sz w:val="22"/>
                <w:szCs w:val="22"/>
                <w:lang w:val="en-US"/>
              </w:rPr>
              <w:t>to</w:t>
            </w:r>
            <w:r w:rsidRPr="00560178">
              <w:rPr>
                <w:rFonts w:asciiTheme="majorHAnsi" w:hAnsiTheme="majorHAnsi" w:cstheme="majorHAnsi"/>
                <w:color w:val="000000" w:themeColor="text1"/>
                <w:sz w:val="22"/>
                <w:szCs w:val="22"/>
                <w:lang w:val="en-US"/>
              </w:rPr>
              <w:t xml:space="preserve"> coordinate the implementation of the project. The PMU will be responsible for overseeing the implementation, day-to-day management and delivery of project results, including planning</w:t>
            </w:r>
            <w:r w:rsidR="00560178">
              <w:rPr>
                <w:rFonts w:asciiTheme="majorHAnsi" w:hAnsiTheme="majorHAnsi" w:cstheme="majorHAnsi"/>
                <w:color w:val="000000" w:themeColor="text1"/>
                <w:sz w:val="22"/>
                <w:szCs w:val="22"/>
                <w:lang w:val="en-US"/>
              </w:rPr>
              <w:t xml:space="preserve"> </w:t>
            </w:r>
            <w:r w:rsidR="00B17291">
              <w:rPr>
                <w:rFonts w:asciiTheme="majorHAnsi" w:hAnsiTheme="majorHAnsi" w:cstheme="majorHAnsi"/>
                <w:color w:val="000000" w:themeColor="text1"/>
                <w:sz w:val="22"/>
                <w:szCs w:val="22"/>
                <w:lang w:val="en-US"/>
              </w:rPr>
              <w:t xml:space="preserve">and </w:t>
            </w:r>
            <w:r w:rsidR="00B17291" w:rsidRPr="00560178">
              <w:rPr>
                <w:rFonts w:asciiTheme="majorHAnsi" w:hAnsiTheme="majorHAnsi" w:cstheme="majorHAnsi"/>
                <w:color w:val="000000" w:themeColor="text1"/>
                <w:sz w:val="22"/>
                <w:szCs w:val="22"/>
                <w:lang w:val="en-US"/>
              </w:rPr>
              <w:t>coordination</w:t>
            </w:r>
            <w:r w:rsidRPr="00560178">
              <w:rPr>
                <w:rFonts w:asciiTheme="majorHAnsi" w:hAnsiTheme="majorHAnsi" w:cstheme="majorHAnsi"/>
                <w:color w:val="000000" w:themeColor="text1"/>
                <w:sz w:val="22"/>
                <w:szCs w:val="22"/>
                <w:lang w:val="en-US"/>
              </w:rPr>
              <w:t xml:space="preserve">, </w:t>
            </w:r>
            <w:r w:rsidR="00560178">
              <w:rPr>
                <w:rFonts w:asciiTheme="majorHAnsi" w:hAnsiTheme="majorHAnsi" w:cstheme="majorHAnsi"/>
                <w:color w:val="000000" w:themeColor="text1"/>
                <w:sz w:val="22"/>
                <w:szCs w:val="22"/>
                <w:lang w:val="en-US"/>
              </w:rPr>
              <w:t>procurement and financial management,</w:t>
            </w:r>
            <w:r w:rsidR="00560178" w:rsidRPr="00560178">
              <w:rPr>
                <w:rFonts w:asciiTheme="majorHAnsi" w:hAnsiTheme="majorHAnsi" w:cstheme="majorHAnsi"/>
                <w:color w:val="000000" w:themeColor="text1"/>
                <w:sz w:val="22"/>
                <w:szCs w:val="22"/>
                <w:lang w:val="en-US"/>
              </w:rPr>
              <w:t xml:space="preserve"> </w:t>
            </w:r>
            <w:r w:rsidRPr="00560178">
              <w:rPr>
                <w:rFonts w:asciiTheme="majorHAnsi" w:hAnsiTheme="majorHAnsi" w:cstheme="majorHAnsi"/>
                <w:color w:val="000000" w:themeColor="text1"/>
                <w:sz w:val="22"/>
                <w:szCs w:val="22"/>
                <w:lang w:val="en-US"/>
              </w:rPr>
              <w:t xml:space="preserve">communication, monitoring and </w:t>
            </w:r>
            <w:r w:rsidR="00B17291">
              <w:rPr>
                <w:rFonts w:asciiTheme="majorHAnsi" w:hAnsiTheme="majorHAnsi" w:cstheme="majorHAnsi"/>
                <w:color w:val="000000" w:themeColor="text1"/>
                <w:sz w:val="22"/>
                <w:szCs w:val="22"/>
                <w:lang w:val="en-US"/>
              </w:rPr>
              <w:t xml:space="preserve">reporting </w:t>
            </w:r>
            <w:r w:rsidR="00B17291" w:rsidRPr="00560178">
              <w:rPr>
                <w:rFonts w:asciiTheme="majorHAnsi" w:hAnsiTheme="majorHAnsi" w:cstheme="majorHAnsi"/>
                <w:color w:val="000000" w:themeColor="text1"/>
                <w:sz w:val="22"/>
                <w:szCs w:val="22"/>
                <w:lang w:val="en-US"/>
              </w:rPr>
              <w:t>of</w:t>
            </w:r>
            <w:r w:rsidRPr="00560178">
              <w:rPr>
                <w:rFonts w:asciiTheme="majorHAnsi" w:hAnsiTheme="majorHAnsi" w:cstheme="majorHAnsi"/>
                <w:color w:val="000000" w:themeColor="text1"/>
                <w:sz w:val="22"/>
                <w:szCs w:val="22"/>
                <w:lang w:val="en-US"/>
              </w:rPr>
              <w:t xml:space="preserve"> results.</w:t>
            </w:r>
          </w:p>
          <w:p w14:paraId="282E5CF9" w14:textId="77777777" w:rsidR="00897A4A" w:rsidRPr="00560178" w:rsidRDefault="00897A4A" w:rsidP="00897A4A">
            <w:pPr>
              <w:spacing w:before="2" w:line="276" w:lineRule="auto"/>
              <w:jc w:val="both"/>
              <w:rPr>
                <w:rFonts w:asciiTheme="majorHAnsi" w:hAnsiTheme="majorHAnsi" w:cstheme="majorHAnsi"/>
                <w:sz w:val="22"/>
                <w:szCs w:val="22"/>
                <w:lang w:val="en-US"/>
              </w:rPr>
            </w:pPr>
          </w:p>
          <w:p w14:paraId="5F423CAF" w14:textId="231CB739" w:rsidR="00897A4A" w:rsidRPr="00F366B8" w:rsidRDefault="00897A4A" w:rsidP="00F366B8">
            <w:pPr>
              <w:pStyle w:val="PargrafodaLista"/>
              <w:numPr>
                <w:ilvl w:val="0"/>
                <w:numId w:val="1"/>
              </w:numPr>
              <w:tabs>
                <w:tab w:val="center" w:pos="4560"/>
              </w:tabs>
              <w:suppressAutoHyphens/>
              <w:spacing w:line="276" w:lineRule="auto"/>
              <w:jc w:val="both"/>
              <w:rPr>
                <w:rFonts w:asciiTheme="majorHAnsi" w:hAnsiTheme="majorHAnsi" w:cstheme="majorHAnsi"/>
                <w:spacing w:val="-3"/>
                <w:sz w:val="22"/>
                <w:szCs w:val="22"/>
                <w:lang w:val="en-US"/>
              </w:rPr>
            </w:pPr>
            <w:r w:rsidRPr="00560178">
              <w:rPr>
                <w:rFonts w:asciiTheme="majorHAnsi" w:hAnsiTheme="majorHAnsi" w:cstheme="majorHAnsi"/>
                <w:spacing w:val="-3"/>
                <w:sz w:val="22"/>
                <w:szCs w:val="22"/>
                <w:lang w:val="en-US"/>
              </w:rPr>
              <w:t>The project consists of the following components:</w:t>
            </w:r>
          </w:p>
          <w:p w14:paraId="563F118B" w14:textId="71900D1B" w:rsidR="00897A4A" w:rsidRPr="00560178" w:rsidRDefault="00897A4A" w:rsidP="00897A4A">
            <w:pPr>
              <w:spacing w:line="276" w:lineRule="auto"/>
              <w:jc w:val="both"/>
              <w:rPr>
                <w:rFonts w:asciiTheme="majorHAnsi" w:hAnsiTheme="majorHAnsi" w:cstheme="majorHAnsi"/>
                <w:sz w:val="22"/>
                <w:szCs w:val="22"/>
                <w:lang w:val="en-US"/>
              </w:rPr>
            </w:pPr>
            <w:r w:rsidRPr="00CF1EE6">
              <w:rPr>
                <w:rFonts w:asciiTheme="majorHAnsi" w:hAnsiTheme="majorHAnsi" w:cstheme="majorHAnsi"/>
                <w:b/>
                <w:bCs/>
                <w:spacing w:val="-3"/>
                <w:sz w:val="22"/>
                <w:szCs w:val="22"/>
              </w:rPr>
              <w:t xml:space="preserve">Component 1: </w:t>
            </w:r>
            <w:r w:rsidRPr="00CF1EE6">
              <w:rPr>
                <w:rFonts w:asciiTheme="majorHAnsi" w:hAnsiTheme="majorHAnsi" w:cstheme="majorHAnsi"/>
                <w:sz w:val="22"/>
                <w:szCs w:val="22"/>
              </w:rPr>
              <w:t xml:space="preserve">Modernization of customs administration and sustainable management of public debt. This component aims to strengthen capacities for revenue collection and sustainable management of public debt, and will be implemented through </w:t>
            </w:r>
            <w:r w:rsidR="00B17291">
              <w:rPr>
                <w:rFonts w:asciiTheme="majorHAnsi" w:hAnsiTheme="majorHAnsi" w:cstheme="majorHAnsi"/>
                <w:sz w:val="22"/>
                <w:szCs w:val="22"/>
              </w:rPr>
              <w:t xml:space="preserve">two </w:t>
            </w:r>
            <w:r w:rsidR="00B17291" w:rsidRPr="00CF1EE6">
              <w:rPr>
                <w:rFonts w:asciiTheme="majorHAnsi" w:hAnsiTheme="majorHAnsi" w:cstheme="majorHAnsi"/>
                <w:sz w:val="22"/>
                <w:szCs w:val="22"/>
              </w:rPr>
              <w:t>sub</w:t>
            </w:r>
            <w:r w:rsidRPr="00CF1EE6">
              <w:rPr>
                <w:rFonts w:asciiTheme="majorHAnsi" w:hAnsiTheme="majorHAnsi" w:cstheme="majorHAnsi"/>
                <w:sz w:val="22"/>
                <w:szCs w:val="22"/>
              </w:rPr>
              <w:t>-components:</w:t>
            </w:r>
          </w:p>
          <w:p w14:paraId="12D54F87" w14:textId="2EBF8A6E" w:rsidR="00897A4A" w:rsidRPr="00560178" w:rsidRDefault="00897A4A" w:rsidP="00897A4A">
            <w:pPr>
              <w:spacing w:line="276" w:lineRule="auto"/>
              <w:jc w:val="both"/>
              <w:rPr>
                <w:rFonts w:asciiTheme="majorHAnsi" w:hAnsiTheme="majorHAnsi" w:cstheme="majorHAnsi"/>
                <w:sz w:val="22"/>
                <w:szCs w:val="22"/>
                <w:lang w:val="en-US"/>
              </w:rPr>
            </w:pPr>
            <w:r w:rsidRPr="00CF1EE6">
              <w:rPr>
                <w:rFonts w:asciiTheme="majorHAnsi" w:hAnsiTheme="majorHAnsi" w:cstheme="majorHAnsi"/>
                <w:b/>
                <w:bCs/>
                <w:sz w:val="22"/>
                <w:szCs w:val="22"/>
              </w:rPr>
              <w:t xml:space="preserve">Sub-component 1.1: </w:t>
            </w:r>
            <w:r w:rsidRPr="00CF1EE6">
              <w:rPr>
                <w:rFonts w:asciiTheme="majorHAnsi" w:hAnsiTheme="majorHAnsi" w:cstheme="majorHAnsi"/>
                <w:sz w:val="22"/>
                <w:szCs w:val="22"/>
              </w:rPr>
              <w:t>Modernized Customs Administration and Trade Environment. The objective of this sub-component is to modernize customs administration with a view to increasing the collection of trade revenues and improving the efficiency and effectiveness of the control of legitimate trade operations. Main activities</w:t>
            </w:r>
            <w:r w:rsidR="00560178">
              <w:rPr>
                <w:rFonts w:asciiTheme="majorHAnsi" w:hAnsiTheme="majorHAnsi" w:cstheme="majorHAnsi"/>
                <w:sz w:val="22"/>
                <w:szCs w:val="22"/>
              </w:rPr>
              <w:t xml:space="preserve"> include p</w:t>
            </w:r>
            <w:r w:rsidR="00953072" w:rsidRPr="002D6FAE">
              <w:rPr>
                <w:rFonts w:asciiTheme="majorHAnsi" w:hAnsiTheme="majorHAnsi" w:cstheme="majorHAnsi"/>
                <w:sz w:val="22"/>
                <w:szCs w:val="22"/>
                <w:lang w:val="en-US"/>
              </w:rPr>
              <w:t>provision</w:t>
            </w:r>
            <w:r w:rsidR="00560178" w:rsidRPr="002D6FAE">
              <w:rPr>
                <w:rFonts w:asciiTheme="majorHAnsi" w:hAnsiTheme="majorHAnsi" w:cstheme="majorHAnsi"/>
                <w:sz w:val="22"/>
                <w:szCs w:val="22"/>
                <w:lang w:val="en-US"/>
              </w:rPr>
              <w:t xml:space="preserve"> of technical support from the United Nations Conference on Trade </w:t>
            </w:r>
            <w:r w:rsidR="00560178" w:rsidRPr="002D6FAE">
              <w:rPr>
                <w:rFonts w:asciiTheme="majorHAnsi" w:hAnsiTheme="majorHAnsi" w:cstheme="majorHAnsi"/>
                <w:sz w:val="22"/>
                <w:szCs w:val="22"/>
                <w:lang w:val="en-US"/>
              </w:rPr>
              <w:lastRenderedPageBreak/>
              <w:t>and Development (UNCTAD) for the upgrade and migration of the ASYCUDA 2010 global system (version 4.3) to its latest Windows version, including the purchase of information technology equipment to support the upgrade of the electronic system.</w:t>
            </w:r>
          </w:p>
          <w:p w14:paraId="5889C2E2" w14:textId="7764CC27" w:rsidR="00897A4A" w:rsidRPr="00560178" w:rsidRDefault="00897A4A" w:rsidP="00F366B8">
            <w:pPr>
              <w:spacing w:line="276" w:lineRule="auto"/>
              <w:jc w:val="both"/>
              <w:rPr>
                <w:rFonts w:asciiTheme="majorHAnsi" w:hAnsiTheme="majorHAnsi" w:cstheme="majorHAnsi"/>
                <w:spacing w:val="-3"/>
                <w:sz w:val="22"/>
                <w:szCs w:val="22"/>
                <w:lang w:val="en-US"/>
              </w:rPr>
            </w:pPr>
            <w:r w:rsidRPr="00CF1EE6">
              <w:rPr>
                <w:rFonts w:asciiTheme="majorHAnsi" w:hAnsiTheme="majorHAnsi" w:cstheme="majorHAnsi"/>
                <w:sz w:val="22"/>
                <w:szCs w:val="22"/>
              </w:rPr>
              <w:t xml:space="preserve"> </w:t>
            </w:r>
            <w:r w:rsidRPr="00CF1EE6">
              <w:rPr>
                <w:rFonts w:asciiTheme="majorHAnsi" w:hAnsiTheme="majorHAnsi" w:cstheme="majorHAnsi"/>
                <w:b/>
                <w:bCs/>
                <w:sz w:val="22"/>
                <w:szCs w:val="22"/>
              </w:rPr>
              <w:t>Sub-component 1.2</w:t>
            </w:r>
            <w:r w:rsidRPr="00CF1EE6">
              <w:rPr>
                <w:rFonts w:asciiTheme="majorHAnsi" w:hAnsiTheme="majorHAnsi" w:cstheme="majorHAnsi"/>
                <w:sz w:val="22"/>
                <w:szCs w:val="22"/>
              </w:rPr>
              <w:t>: Capacity Building and Transparency in Public Debt Management: The main objective of this sub-component is to strengthen capacity and transparency in public debt management. Main activities</w:t>
            </w:r>
            <w:r w:rsidR="00560178">
              <w:rPr>
                <w:rFonts w:asciiTheme="majorHAnsi" w:hAnsiTheme="majorHAnsi" w:cstheme="majorHAnsi"/>
                <w:sz w:val="22"/>
                <w:szCs w:val="22"/>
              </w:rPr>
              <w:t xml:space="preserve"> include provision of </w:t>
            </w:r>
            <w:r w:rsidR="00560178" w:rsidRPr="00CF1EE6">
              <w:rPr>
                <w:rFonts w:asciiTheme="majorHAnsi" w:hAnsiTheme="majorHAnsi" w:cstheme="majorHAnsi"/>
                <w:sz w:val="22"/>
                <w:szCs w:val="22"/>
              </w:rPr>
              <w:t xml:space="preserve">technical assistance to the Public Debt Management and Monitoring Office (BGSDP), for </w:t>
            </w:r>
            <w:r w:rsidR="00560178" w:rsidRPr="00CF1EE6">
              <w:rPr>
                <w:rFonts w:asciiTheme="majorHAnsi" w:hAnsiTheme="majorHAnsi" w:cstheme="majorHAnsi"/>
                <w:b/>
                <w:bCs/>
                <w:sz w:val="22"/>
                <w:szCs w:val="22"/>
              </w:rPr>
              <w:t>(i) the development of a medium-term debt strategy and a debt plan</w:t>
            </w:r>
            <w:r w:rsidR="00560178" w:rsidRPr="00CF1EE6">
              <w:rPr>
                <w:rFonts w:asciiTheme="majorHAnsi" w:hAnsiTheme="majorHAnsi" w:cstheme="majorHAnsi"/>
                <w:sz w:val="22"/>
                <w:szCs w:val="22"/>
              </w:rPr>
              <w:t xml:space="preserve">, (ii) the review of the </w:t>
            </w:r>
            <w:r w:rsidR="00560178" w:rsidRPr="00CF1EE6">
              <w:rPr>
                <w:rFonts w:asciiTheme="majorHAnsi" w:hAnsiTheme="majorHAnsi" w:cstheme="majorHAnsi"/>
                <w:b/>
                <w:bCs/>
                <w:sz w:val="22"/>
                <w:szCs w:val="22"/>
              </w:rPr>
              <w:t xml:space="preserve">legal debt framework (Decree-Law 1/2014), </w:t>
            </w:r>
            <w:r w:rsidR="00560178" w:rsidRPr="00CF1EE6">
              <w:rPr>
                <w:rFonts w:asciiTheme="majorHAnsi" w:hAnsiTheme="majorHAnsi" w:cstheme="majorHAnsi"/>
                <w:sz w:val="22"/>
                <w:szCs w:val="22"/>
              </w:rPr>
              <w:t xml:space="preserve">(iii) develop new regulations and clarify the objectives of loans and the roles of </w:t>
            </w:r>
            <w:r w:rsidR="00B17291" w:rsidRPr="00CF1EE6">
              <w:rPr>
                <w:rFonts w:asciiTheme="majorHAnsi" w:hAnsiTheme="majorHAnsi" w:cstheme="majorHAnsi"/>
                <w:sz w:val="22"/>
                <w:szCs w:val="22"/>
              </w:rPr>
              <w:t>stakeholders and</w:t>
            </w:r>
            <w:r w:rsidR="00560178" w:rsidRPr="00CF1EE6">
              <w:rPr>
                <w:rFonts w:asciiTheme="majorHAnsi" w:hAnsiTheme="majorHAnsi" w:cstheme="majorHAnsi"/>
                <w:sz w:val="22"/>
                <w:szCs w:val="22"/>
              </w:rPr>
              <w:t xml:space="preserve"> </w:t>
            </w:r>
            <w:r w:rsidR="00560178" w:rsidRPr="00CF1EE6">
              <w:rPr>
                <w:rFonts w:asciiTheme="majorHAnsi" w:hAnsiTheme="majorHAnsi" w:cstheme="majorHAnsi"/>
                <w:b/>
                <w:bCs/>
                <w:sz w:val="22"/>
                <w:szCs w:val="22"/>
              </w:rPr>
              <w:t>(iv)</w:t>
            </w:r>
            <w:r w:rsidR="00560178" w:rsidRPr="00CF1EE6">
              <w:rPr>
                <w:rFonts w:asciiTheme="majorHAnsi" w:hAnsiTheme="majorHAnsi" w:cstheme="majorHAnsi"/>
                <w:sz w:val="22"/>
                <w:szCs w:val="22"/>
              </w:rPr>
              <w:t xml:space="preserve"> develop operational manuals on public debt.</w:t>
            </w:r>
            <w:r w:rsidRPr="00CF1EE6">
              <w:rPr>
                <w:rFonts w:asciiTheme="majorHAnsi" w:hAnsiTheme="majorHAnsi" w:cstheme="majorHAnsi"/>
                <w:sz w:val="22"/>
                <w:szCs w:val="22"/>
              </w:rPr>
              <w:t xml:space="preserve"> </w:t>
            </w:r>
          </w:p>
          <w:p w14:paraId="38063769" w14:textId="627E92CA" w:rsidR="00897A4A" w:rsidRPr="00560178" w:rsidRDefault="00897A4A" w:rsidP="00F366B8">
            <w:pPr>
              <w:spacing w:line="276" w:lineRule="auto"/>
              <w:jc w:val="both"/>
              <w:rPr>
                <w:rFonts w:asciiTheme="majorHAnsi" w:hAnsiTheme="majorHAnsi" w:cstheme="majorHAnsi"/>
                <w:sz w:val="22"/>
                <w:szCs w:val="22"/>
                <w:lang w:val="en-US"/>
              </w:rPr>
            </w:pPr>
            <w:r w:rsidRPr="00CF1EE6">
              <w:rPr>
                <w:rFonts w:asciiTheme="majorHAnsi" w:hAnsiTheme="majorHAnsi" w:cstheme="majorHAnsi"/>
                <w:b/>
                <w:bCs/>
                <w:spacing w:val="-3"/>
                <w:sz w:val="22"/>
                <w:szCs w:val="22"/>
              </w:rPr>
              <w:t xml:space="preserve">Component 2: </w:t>
            </w:r>
            <w:r w:rsidRPr="00CF1EE6">
              <w:rPr>
                <w:rFonts w:asciiTheme="majorHAnsi" w:hAnsiTheme="majorHAnsi" w:cstheme="majorHAnsi"/>
                <w:sz w:val="22"/>
                <w:szCs w:val="22"/>
              </w:rPr>
              <w:t xml:space="preserve">Strengthening the management and control of public expenditure. This component aims to strengthen transparency and accountability for greater effectiveness and efficiency in the management of public expenditures, and will materialize through </w:t>
            </w:r>
            <w:r w:rsidR="00560178">
              <w:rPr>
                <w:rFonts w:asciiTheme="majorHAnsi" w:hAnsiTheme="majorHAnsi" w:cstheme="majorHAnsi"/>
                <w:sz w:val="22"/>
                <w:szCs w:val="22"/>
              </w:rPr>
              <w:t xml:space="preserve">two </w:t>
            </w:r>
            <w:r w:rsidRPr="00CF1EE6">
              <w:rPr>
                <w:rFonts w:asciiTheme="majorHAnsi" w:hAnsiTheme="majorHAnsi" w:cstheme="majorHAnsi"/>
                <w:sz w:val="22"/>
                <w:szCs w:val="22"/>
              </w:rPr>
              <w:t>sub-components, namely:</w:t>
            </w:r>
          </w:p>
          <w:p w14:paraId="54D3F490" w14:textId="2AEBFC03" w:rsidR="00897A4A" w:rsidRPr="00560178" w:rsidRDefault="00897A4A" w:rsidP="00533E87">
            <w:pPr>
              <w:spacing w:line="276" w:lineRule="auto"/>
              <w:jc w:val="both"/>
              <w:rPr>
                <w:rFonts w:asciiTheme="majorHAnsi" w:hAnsiTheme="majorHAnsi" w:cstheme="majorHAnsi"/>
                <w:sz w:val="22"/>
                <w:szCs w:val="22"/>
                <w:lang w:val="en-US"/>
              </w:rPr>
            </w:pPr>
            <w:r w:rsidRPr="00CF1EE6">
              <w:rPr>
                <w:rFonts w:asciiTheme="majorHAnsi" w:hAnsiTheme="majorHAnsi" w:cstheme="majorHAnsi"/>
                <w:sz w:val="22"/>
                <w:szCs w:val="22"/>
              </w:rPr>
              <w:t xml:space="preserve"> </w:t>
            </w:r>
            <w:r w:rsidRPr="00CF1EE6">
              <w:rPr>
                <w:rFonts w:asciiTheme="majorHAnsi" w:hAnsiTheme="majorHAnsi" w:cstheme="majorHAnsi"/>
                <w:b/>
                <w:bCs/>
                <w:sz w:val="22"/>
                <w:szCs w:val="22"/>
              </w:rPr>
              <w:t>Sub-component 2.1</w:t>
            </w:r>
            <w:r w:rsidRPr="00CF1EE6">
              <w:rPr>
                <w:rFonts w:asciiTheme="majorHAnsi" w:hAnsiTheme="majorHAnsi" w:cstheme="majorHAnsi"/>
                <w:sz w:val="22"/>
                <w:szCs w:val="22"/>
              </w:rPr>
              <w:t>: Strengthening the financial management information system. The main objective of this sub-component is to support the development and implementation of an improved and integrated financial management information system. Key activities under this sub-component include</w:t>
            </w:r>
            <w:r w:rsidR="00560178">
              <w:rPr>
                <w:rFonts w:asciiTheme="majorHAnsi" w:hAnsiTheme="majorHAnsi" w:cstheme="majorHAnsi"/>
                <w:sz w:val="22"/>
                <w:szCs w:val="22"/>
              </w:rPr>
              <w:t xml:space="preserve"> </w:t>
            </w:r>
            <w:r w:rsidR="00560178">
              <w:rPr>
                <w:rFonts w:asciiTheme="majorHAnsi" w:hAnsiTheme="majorHAnsi" w:cstheme="majorHAnsi"/>
                <w:sz w:val="22"/>
                <w:szCs w:val="22"/>
                <w:lang w:val="en-US"/>
              </w:rPr>
              <w:t>p</w:t>
            </w:r>
            <w:r w:rsidR="00560178" w:rsidRPr="00560178">
              <w:rPr>
                <w:rFonts w:asciiTheme="majorHAnsi" w:hAnsiTheme="majorHAnsi" w:cstheme="majorHAnsi"/>
                <w:sz w:val="22"/>
                <w:szCs w:val="22"/>
                <w:lang w:val="en-US"/>
              </w:rPr>
              <w:t>rovi</w:t>
            </w:r>
            <w:r w:rsidR="00560178">
              <w:rPr>
                <w:rFonts w:asciiTheme="majorHAnsi" w:hAnsiTheme="majorHAnsi" w:cstheme="majorHAnsi"/>
                <w:sz w:val="22"/>
                <w:szCs w:val="22"/>
                <w:lang w:val="en-US"/>
              </w:rPr>
              <w:t>sion of</w:t>
            </w:r>
            <w:r w:rsidR="00560178" w:rsidRPr="00560178">
              <w:rPr>
                <w:rFonts w:asciiTheme="majorHAnsi" w:hAnsiTheme="majorHAnsi" w:cstheme="majorHAnsi"/>
                <w:sz w:val="22"/>
                <w:szCs w:val="22"/>
                <w:lang w:val="en-US"/>
              </w:rPr>
              <w:t xml:space="preserve"> technical assistance to design and develop an improved integrated financial management system</w:t>
            </w:r>
            <w:r w:rsidR="00560178">
              <w:rPr>
                <w:rFonts w:asciiTheme="majorHAnsi" w:hAnsiTheme="majorHAnsi" w:cstheme="majorHAnsi"/>
                <w:sz w:val="22"/>
                <w:szCs w:val="22"/>
                <w:lang w:val="en-US"/>
              </w:rPr>
              <w:t xml:space="preserve">. </w:t>
            </w:r>
          </w:p>
          <w:p w14:paraId="559098A6" w14:textId="1A256DDD" w:rsidR="00E047BD" w:rsidRPr="00F366B8" w:rsidRDefault="00897A4A" w:rsidP="00897A4A">
            <w:pPr>
              <w:spacing w:line="276" w:lineRule="auto"/>
              <w:jc w:val="both"/>
              <w:rPr>
                <w:rFonts w:asciiTheme="majorHAnsi" w:hAnsiTheme="majorHAnsi" w:cstheme="majorHAnsi"/>
                <w:sz w:val="22"/>
                <w:szCs w:val="22"/>
              </w:rPr>
            </w:pPr>
            <w:r w:rsidRPr="00CF1EE6">
              <w:rPr>
                <w:rFonts w:asciiTheme="majorHAnsi" w:hAnsiTheme="majorHAnsi" w:cstheme="majorHAnsi"/>
                <w:b/>
                <w:bCs/>
                <w:sz w:val="22"/>
                <w:szCs w:val="22"/>
              </w:rPr>
              <w:t xml:space="preserve">Sub-component </w:t>
            </w:r>
            <w:r w:rsidR="00B17291" w:rsidRPr="00CF1EE6">
              <w:rPr>
                <w:rFonts w:asciiTheme="majorHAnsi" w:hAnsiTheme="majorHAnsi" w:cstheme="majorHAnsi"/>
                <w:b/>
                <w:bCs/>
                <w:sz w:val="22"/>
                <w:szCs w:val="22"/>
              </w:rPr>
              <w:t>2.2:</w:t>
            </w:r>
            <w:r w:rsidRPr="00CF1EE6">
              <w:rPr>
                <w:rFonts w:asciiTheme="majorHAnsi" w:hAnsiTheme="majorHAnsi" w:cstheme="majorHAnsi"/>
                <w:sz w:val="22"/>
                <w:szCs w:val="22"/>
              </w:rPr>
              <w:t xml:space="preserve"> Capacity building in public resource management.</w:t>
            </w:r>
            <w:r w:rsidR="00560178">
              <w:rPr>
                <w:rFonts w:asciiTheme="majorHAnsi" w:hAnsiTheme="majorHAnsi" w:cstheme="majorHAnsi"/>
                <w:sz w:val="22"/>
                <w:szCs w:val="22"/>
              </w:rPr>
              <w:t xml:space="preserve"> </w:t>
            </w:r>
            <w:r w:rsidR="00560178" w:rsidRPr="00CF1EE6">
              <w:rPr>
                <w:rFonts w:asciiTheme="majorHAnsi" w:hAnsiTheme="majorHAnsi" w:cstheme="majorHAnsi"/>
                <w:sz w:val="22"/>
                <w:szCs w:val="22"/>
              </w:rPr>
              <w:t>This sub-component aims to support the implementation of the new Public Procurement Law and strengthen the government's capacity to implement PFM reforms. The sub-component also aims to support interventions to strengthen PFM capacity in specific areas, including the implementation of the new public procurement reform, legislation and government capacity building in internal and external audit, public procurement management and countering illicit financial flows, and ensuring that PFM reforms take into account gender and climate change.</w:t>
            </w:r>
          </w:p>
          <w:p w14:paraId="33941E0F" w14:textId="77777777" w:rsidR="00897A4A" w:rsidRPr="00560178" w:rsidRDefault="00897A4A" w:rsidP="00897A4A">
            <w:pPr>
              <w:spacing w:line="276" w:lineRule="auto"/>
              <w:jc w:val="both"/>
              <w:rPr>
                <w:rFonts w:asciiTheme="majorHAnsi" w:hAnsiTheme="majorHAnsi" w:cstheme="majorHAnsi"/>
                <w:sz w:val="22"/>
                <w:szCs w:val="22"/>
                <w:lang w:val="en-US"/>
              </w:rPr>
            </w:pPr>
          </w:p>
          <w:p w14:paraId="56020EDD" w14:textId="304E305B" w:rsidR="00897A4A" w:rsidRDefault="00897A4A" w:rsidP="00897A4A">
            <w:pPr>
              <w:pStyle w:val="PargrafodaLista"/>
              <w:numPr>
                <w:ilvl w:val="0"/>
                <w:numId w:val="4"/>
              </w:numPr>
              <w:tabs>
                <w:tab w:val="center" w:pos="4560"/>
              </w:tabs>
              <w:suppressAutoHyphens/>
              <w:spacing w:line="276" w:lineRule="auto"/>
              <w:jc w:val="both"/>
              <w:rPr>
                <w:rFonts w:asciiTheme="majorHAnsi" w:hAnsiTheme="majorHAnsi" w:cstheme="majorHAnsi"/>
                <w:spacing w:val="-3"/>
                <w:sz w:val="22"/>
                <w:szCs w:val="22"/>
                <w:lang w:val="en-US"/>
              </w:rPr>
            </w:pPr>
            <w:r w:rsidRPr="00560178">
              <w:rPr>
                <w:rFonts w:asciiTheme="majorHAnsi" w:hAnsiTheme="majorHAnsi" w:cstheme="majorHAnsi"/>
                <w:spacing w:val="-3"/>
                <w:sz w:val="22"/>
                <w:szCs w:val="22"/>
                <w:lang w:val="en-US"/>
              </w:rPr>
              <w:t>The procurement</w:t>
            </w:r>
            <w:r w:rsidR="00E047BD">
              <w:rPr>
                <w:rFonts w:asciiTheme="majorHAnsi" w:hAnsiTheme="majorHAnsi" w:cstheme="majorHAnsi"/>
                <w:spacing w:val="-3"/>
                <w:sz w:val="22"/>
                <w:szCs w:val="22"/>
                <w:lang w:val="en-US"/>
              </w:rPr>
              <w:t xml:space="preserve"> modes will be: </w:t>
            </w:r>
          </w:p>
          <w:p w14:paraId="4AFF1BA7" w14:textId="62100ED8" w:rsidR="00E047BD" w:rsidRDefault="00E047BD" w:rsidP="00E047BD">
            <w:pPr>
              <w:pStyle w:val="PargrafodaLista"/>
              <w:tabs>
                <w:tab w:val="center" w:pos="4560"/>
              </w:tabs>
              <w:suppressAutoHyphens/>
              <w:spacing w:line="276" w:lineRule="auto"/>
              <w:ind w:left="360"/>
              <w:jc w:val="both"/>
              <w:rPr>
                <w:rFonts w:asciiTheme="majorHAnsi" w:hAnsiTheme="majorHAnsi" w:cstheme="majorHAnsi"/>
                <w:spacing w:val="-3"/>
                <w:sz w:val="22"/>
                <w:szCs w:val="22"/>
                <w:lang w:val="en-US"/>
              </w:rPr>
            </w:pPr>
            <w:r w:rsidRPr="00F366B8">
              <w:rPr>
                <w:rFonts w:asciiTheme="majorHAnsi" w:hAnsiTheme="majorHAnsi" w:cstheme="majorHAnsi"/>
                <w:b/>
                <w:bCs/>
                <w:spacing w:val="-3"/>
                <w:sz w:val="22"/>
                <w:szCs w:val="22"/>
                <w:lang w:val="en-US"/>
              </w:rPr>
              <w:t>CONSULTING SERVICES</w:t>
            </w:r>
            <w:r>
              <w:rPr>
                <w:rFonts w:asciiTheme="majorHAnsi" w:hAnsiTheme="majorHAnsi" w:cstheme="majorHAnsi"/>
                <w:spacing w:val="-3"/>
                <w:sz w:val="22"/>
                <w:szCs w:val="22"/>
                <w:lang w:val="en-US"/>
              </w:rPr>
              <w:t xml:space="preserve">: </w:t>
            </w:r>
          </w:p>
          <w:p w14:paraId="32D2DAFE" w14:textId="7BC9BDE0" w:rsidR="00E047BD" w:rsidRDefault="00E047BD" w:rsidP="00E047BD">
            <w:pPr>
              <w:pStyle w:val="PargrafodaLista"/>
              <w:numPr>
                <w:ilvl w:val="0"/>
                <w:numId w:val="6"/>
              </w:numPr>
              <w:tabs>
                <w:tab w:val="center" w:pos="4560"/>
              </w:tabs>
              <w:suppressAutoHyphens/>
              <w:spacing w:line="276" w:lineRule="auto"/>
              <w:jc w:val="both"/>
              <w:rPr>
                <w:rFonts w:asciiTheme="majorHAnsi" w:hAnsiTheme="majorHAnsi" w:cstheme="majorHAnsi"/>
                <w:spacing w:val="-3"/>
                <w:sz w:val="22"/>
                <w:szCs w:val="22"/>
                <w:lang w:val="en-US"/>
              </w:rPr>
            </w:pPr>
            <w:r>
              <w:rPr>
                <w:rFonts w:asciiTheme="majorHAnsi" w:hAnsiTheme="majorHAnsi" w:cstheme="majorHAnsi"/>
                <w:spacing w:val="-3"/>
                <w:sz w:val="22"/>
                <w:szCs w:val="22"/>
                <w:lang w:val="en-US"/>
              </w:rPr>
              <w:t>Technical Assistance for development of (a) public procurement regulations, (b) standard procurement documents for goods works and services and/or procurement procedures manual, (c) procurement training modules and training of trainers, and (d) sustainable procurement strategy – CQS (Consultant’s Qualifications)</w:t>
            </w:r>
            <w:r w:rsidR="00943057">
              <w:rPr>
                <w:rFonts w:asciiTheme="majorHAnsi" w:hAnsiTheme="majorHAnsi" w:cstheme="majorHAnsi"/>
                <w:spacing w:val="-3"/>
                <w:sz w:val="22"/>
                <w:szCs w:val="22"/>
                <w:lang w:val="en-US"/>
              </w:rPr>
              <w:t>.</w:t>
            </w:r>
          </w:p>
          <w:p w14:paraId="4E74E563" w14:textId="2B68D13A" w:rsidR="00943057" w:rsidRDefault="00943057" w:rsidP="00E047BD">
            <w:pPr>
              <w:pStyle w:val="PargrafodaLista"/>
              <w:numPr>
                <w:ilvl w:val="0"/>
                <w:numId w:val="6"/>
              </w:numPr>
              <w:tabs>
                <w:tab w:val="center" w:pos="4560"/>
              </w:tabs>
              <w:suppressAutoHyphens/>
              <w:spacing w:line="276" w:lineRule="auto"/>
              <w:jc w:val="both"/>
              <w:rPr>
                <w:rFonts w:asciiTheme="majorHAnsi" w:hAnsiTheme="majorHAnsi" w:cstheme="majorHAnsi"/>
                <w:spacing w:val="-3"/>
                <w:sz w:val="22"/>
                <w:szCs w:val="22"/>
                <w:lang w:val="en-US"/>
              </w:rPr>
            </w:pPr>
            <w:r>
              <w:rPr>
                <w:rFonts w:asciiTheme="majorHAnsi" w:hAnsiTheme="majorHAnsi" w:cstheme="majorHAnsi"/>
                <w:spacing w:val="-3"/>
                <w:sz w:val="22"/>
                <w:szCs w:val="22"/>
                <w:lang w:val="en-US"/>
              </w:rPr>
              <w:t>Consultancy for undertaking training needs assessment for all project beneficiary institutions and develop training plans – ICS (Selection of Individual Consultant).</w:t>
            </w:r>
          </w:p>
          <w:p w14:paraId="2AC517F6" w14:textId="77777777" w:rsidR="00E33225" w:rsidRDefault="00855C2B" w:rsidP="00E047BD">
            <w:pPr>
              <w:pStyle w:val="PargrafodaLista"/>
              <w:numPr>
                <w:ilvl w:val="0"/>
                <w:numId w:val="6"/>
              </w:numPr>
              <w:tabs>
                <w:tab w:val="center" w:pos="4560"/>
              </w:tabs>
              <w:suppressAutoHyphens/>
              <w:spacing w:line="276" w:lineRule="auto"/>
              <w:jc w:val="both"/>
              <w:rPr>
                <w:rFonts w:asciiTheme="majorHAnsi" w:hAnsiTheme="majorHAnsi" w:cstheme="majorHAnsi"/>
                <w:spacing w:val="-3"/>
                <w:sz w:val="22"/>
                <w:szCs w:val="22"/>
                <w:lang w:val="en-US"/>
              </w:rPr>
            </w:pPr>
            <w:r>
              <w:rPr>
                <w:rFonts w:asciiTheme="majorHAnsi" w:hAnsiTheme="majorHAnsi" w:cstheme="majorHAnsi"/>
                <w:spacing w:val="-3"/>
                <w:sz w:val="22"/>
                <w:szCs w:val="22"/>
                <w:lang w:val="en-US"/>
              </w:rPr>
              <w:t>Technical Assistance for (a) development of a National AML/CTF Strategy and Action Plan and a National AML/CTF Policy, and (b) review of various statutes (Law 3/2018 – Law against terrorism and its financing; Decree No. 60/2009 – creation of Financial Information Unit (FIU) and Decree No. 25/2012 – drafting of Internal regulation and completion of draft organic statute of the FIU – CQS (Consultant’s Qualifications).</w:t>
            </w:r>
          </w:p>
          <w:p w14:paraId="5F7C51A2" w14:textId="77777777" w:rsidR="00E33225" w:rsidRDefault="00E33225" w:rsidP="00E047BD">
            <w:pPr>
              <w:pStyle w:val="PargrafodaLista"/>
              <w:numPr>
                <w:ilvl w:val="0"/>
                <w:numId w:val="6"/>
              </w:numPr>
              <w:tabs>
                <w:tab w:val="center" w:pos="4560"/>
              </w:tabs>
              <w:suppressAutoHyphens/>
              <w:spacing w:line="276" w:lineRule="auto"/>
              <w:jc w:val="both"/>
              <w:rPr>
                <w:rFonts w:asciiTheme="majorHAnsi" w:hAnsiTheme="majorHAnsi" w:cstheme="majorHAnsi"/>
                <w:spacing w:val="-3"/>
                <w:sz w:val="22"/>
                <w:szCs w:val="22"/>
                <w:lang w:val="en-US"/>
              </w:rPr>
            </w:pPr>
            <w:r>
              <w:rPr>
                <w:rFonts w:asciiTheme="majorHAnsi" w:hAnsiTheme="majorHAnsi" w:cstheme="majorHAnsi"/>
                <w:spacing w:val="-3"/>
                <w:sz w:val="22"/>
                <w:szCs w:val="22"/>
                <w:lang w:val="en-US"/>
              </w:rPr>
              <w:t>Technical Assistance for SAFE-e quality assurance – ICS (Selection of Individual Consultant).</w:t>
            </w:r>
          </w:p>
          <w:p w14:paraId="3D11416A" w14:textId="77777777" w:rsidR="003C62DB" w:rsidRDefault="00E33225">
            <w:pPr>
              <w:pStyle w:val="PargrafodaLista"/>
              <w:numPr>
                <w:ilvl w:val="0"/>
                <w:numId w:val="6"/>
              </w:numPr>
              <w:tabs>
                <w:tab w:val="center" w:pos="4560"/>
              </w:tabs>
              <w:suppressAutoHyphens/>
              <w:spacing w:line="276" w:lineRule="auto"/>
              <w:jc w:val="both"/>
              <w:rPr>
                <w:rFonts w:asciiTheme="majorHAnsi" w:hAnsiTheme="majorHAnsi" w:cstheme="majorHAnsi"/>
                <w:spacing w:val="-3"/>
                <w:sz w:val="22"/>
                <w:szCs w:val="22"/>
                <w:lang w:val="en-US"/>
              </w:rPr>
            </w:pPr>
            <w:r>
              <w:rPr>
                <w:rFonts w:asciiTheme="majorHAnsi" w:hAnsiTheme="majorHAnsi" w:cstheme="majorHAnsi"/>
                <w:spacing w:val="-3"/>
                <w:sz w:val="22"/>
                <w:szCs w:val="22"/>
                <w:lang w:val="en-US"/>
              </w:rPr>
              <w:t>Technical Assistance for the development of a medium-term debt strategy</w:t>
            </w:r>
            <w:r w:rsidR="003C62DB">
              <w:rPr>
                <w:rFonts w:asciiTheme="majorHAnsi" w:hAnsiTheme="majorHAnsi" w:cstheme="majorHAnsi"/>
                <w:spacing w:val="-3"/>
                <w:sz w:val="22"/>
                <w:szCs w:val="22"/>
                <w:lang w:val="en-US"/>
              </w:rPr>
              <w:t>,</w:t>
            </w:r>
            <w:r>
              <w:rPr>
                <w:rFonts w:asciiTheme="majorHAnsi" w:hAnsiTheme="majorHAnsi" w:cstheme="majorHAnsi"/>
                <w:spacing w:val="-3"/>
                <w:sz w:val="22"/>
                <w:szCs w:val="22"/>
                <w:lang w:val="en-US"/>
              </w:rPr>
              <w:t xml:space="preserve"> </w:t>
            </w:r>
            <w:r w:rsidR="0041608C">
              <w:rPr>
                <w:rFonts w:asciiTheme="majorHAnsi" w:hAnsiTheme="majorHAnsi" w:cstheme="majorHAnsi"/>
                <w:spacing w:val="-3"/>
                <w:sz w:val="22"/>
                <w:szCs w:val="22"/>
                <w:lang w:val="en-US"/>
              </w:rPr>
              <w:t>borrowing plan including capacity building to debt management office and National Debt Management Committee</w:t>
            </w:r>
            <w:r w:rsidR="003C62DB">
              <w:rPr>
                <w:rFonts w:asciiTheme="majorHAnsi" w:hAnsiTheme="majorHAnsi" w:cstheme="majorHAnsi"/>
                <w:spacing w:val="-3"/>
                <w:sz w:val="22"/>
                <w:szCs w:val="22"/>
                <w:lang w:val="en-US"/>
              </w:rPr>
              <w:t>,</w:t>
            </w:r>
            <w:r w:rsidR="0041608C">
              <w:rPr>
                <w:rFonts w:asciiTheme="majorHAnsi" w:hAnsiTheme="majorHAnsi" w:cstheme="majorHAnsi"/>
                <w:spacing w:val="-3"/>
                <w:sz w:val="22"/>
                <w:szCs w:val="22"/>
                <w:lang w:val="en-US"/>
              </w:rPr>
              <w:t xml:space="preserve"> on development of public debt management, debt borrowing planning, debt sustainability and reporting. – ICS (Selection of Individual Consultant).</w:t>
            </w:r>
          </w:p>
          <w:p w14:paraId="6A80D9A7" w14:textId="1D7EED31" w:rsidR="003C62DB" w:rsidRDefault="003C62DB">
            <w:pPr>
              <w:pStyle w:val="PargrafodaLista"/>
              <w:numPr>
                <w:ilvl w:val="0"/>
                <w:numId w:val="6"/>
              </w:numPr>
              <w:tabs>
                <w:tab w:val="center" w:pos="4560"/>
              </w:tabs>
              <w:suppressAutoHyphens/>
              <w:spacing w:line="276" w:lineRule="auto"/>
              <w:jc w:val="both"/>
              <w:rPr>
                <w:rFonts w:asciiTheme="majorHAnsi" w:hAnsiTheme="majorHAnsi" w:cstheme="majorHAnsi"/>
                <w:spacing w:val="-3"/>
                <w:sz w:val="22"/>
                <w:szCs w:val="22"/>
                <w:lang w:val="en-US"/>
              </w:rPr>
            </w:pPr>
            <w:r>
              <w:rPr>
                <w:rFonts w:asciiTheme="majorHAnsi" w:hAnsiTheme="majorHAnsi" w:cstheme="majorHAnsi"/>
                <w:spacing w:val="-3"/>
                <w:sz w:val="22"/>
                <w:szCs w:val="22"/>
                <w:lang w:val="en-US"/>
              </w:rPr>
              <w:t xml:space="preserve">Technical Assistance for stakeholder engagement, awareness, and capacity building on </w:t>
            </w:r>
            <w:r>
              <w:rPr>
                <w:rFonts w:asciiTheme="majorHAnsi" w:hAnsiTheme="majorHAnsi" w:cstheme="majorHAnsi"/>
                <w:spacing w:val="-3"/>
                <w:sz w:val="22"/>
                <w:szCs w:val="22"/>
                <w:lang w:val="en-US"/>
              </w:rPr>
              <w:lastRenderedPageBreak/>
              <w:t>implementation of public procurement law and development of regulations and other operational tools.</w:t>
            </w:r>
          </w:p>
          <w:p w14:paraId="737AA111" w14:textId="1D39F35B" w:rsidR="003C62DB" w:rsidRDefault="003C62DB" w:rsidP="003C62DB">
            <w:pPr>
              <w:pStyle w:val="PargrafodaLista"/>
              <w:tabs>
                <w:tab w:val="center" w:pos="4560"/>
              </w:tabs>
              <w:suppressAutoHyphens/>
              <w:spacing w:line="276" w:lineRule="auto"/>
              <w:ind w:left="360"/>
              <w:jc w:val="both"/>
              <w:rPr>
                <w:rFonts w:asciiTheme="majorHAnsi" w:hAnsiTheme="majorHAnsi" w:cstheme="majorHAnsi"/>
                <w:spacing w:val="-3"/>
                <w:sz w:val="22"/>
                <w:szCs w:val="22"/>
                <w:lang w:val="en-US"/>
              </w:rPr>
            </w:pPr>
            <w:r w:rsidRPr="00F366B8">
              <w:rPr>
                <w:rFonts w:asciiTheme="majorHAnsi" w:hAnsiTheme="majorHAnsi" w:cstheme="majorHAnsi"/>
                <w:spacing w:val="-3"/>
                <w:sz w:val="22"/>
                <w:szCs w:val="22"/>
                <w:lang w:val="en-US"/>
              </w:rPr>
              <w:t xml:space="preserve"> </w:t>
            </w:r>
            <w:r w:rsidR="00E33225" w:rsidRPr="00F366B8">
              <w:rPr>
                <w:rFonts w:asciiTheme="majorHAnsi" w:hAnsiTheme="majorHAnsi" w:cstheme="majorHAnsi"/>
                <w:spacing w:val="-3"/>
                <w:sz w:val="22"/>
                <w:szCs w:val="22"/>
                <w:lang w:val="en-US"/>
              </w:rPr>
              <w:t xml:space="preserve">  </w:t>
            </w:r>
            <w:r w:rsidR="00855C2B" w:rsidRPr="00F366B8">
              <w:rPr>
                <w:rFonts w:asciiTheme="majorHAnsi" w:hAnsiTheme="majorHAnsi" w:cstheme="majorHAnsi"/>
                <w:spacing w:val="-3"/>
                <w:sz w:val="22"/>
                <w:szCs w:val="22"/>
                <w:lang w:val="en-US"/>
              </w:rPr>
              <w:t xml:space="preserve">  </w:t>
            </w:r>
            <w:r w:rsidR="00943057" w:rsidRPr="00F366B8">
              <w:rPr>
                <w:rFonts w:asciiTheme="majorHAnsi" w:hAnsiTheme="majorHAnsi" w:cstheme="majorHAnsi"/>
                <w:spacing w:val="-3"/>
                <w:sz w:val="22"/>
                <w:szCs w:val="22"/>
                <w:lang w:val="en-US"/>
              </w:rPr>
              <w:t xml:space="preserve"> </w:t>
            </w:r>
            <w:r w:rsidR="00E047BD" w:rsidRPr="00F366B8">
              <w:rPr>
                <w:rFonts w:asciiTheme="majorHAnsi" w:hAnsiTheme="majorHAnsi" w:cstheme="majorHAnsi"/>
                <w:spacing w:val="-3"/>
                <w:sz w:val="22"/>
                <w:szCs w:val="22"/>
                <w:lang w:val="en-US"/>
              </w:rPr>
              <w:t xml:space="preserve">  </w:t>
            </w:r>
            <w:r>
              <w:rPr>
                <w:rFonts w:asciiTheme="majorHAnsi" w:hAnsiTheme="majorHAnsi" w:cstheme="majorHAnsi"/>
                <w:b/>
                <w:bCs/>
                <w:spacing w:val="-3"/>
                <w:sz w:val="22"/>
                <w:szCs w:val="22"/>
                <w:lang w:val="en-US"/>
              </w:rPr>
              <w:t>PROCUREMENT OF GOODS</w:t>
            </w:r>
            <w:r>
              <w:rPr>
                <w:rFonts w:asciiTheme="majorHAnsi" w:hAnsiTheme="majorHAnsi" w:cstheme="majorHAnsi"/>
                <w:spacing w:val="-3"/>
                <w:sz w:val="22"/>
                <w:szCs w:val="22"/>
                <w:lang w:val="en-US"/>
              </w:rPr>
              <w:t xml:space="preserve">: </w:t>
            </w:r>
          </w:p>
          <w:p w14:paraId="169C46D5" w14:textId="680F140D" w:rsidR="003C62DB" w:rsidRDefault="003C62DB" w:rsidP="003C62DB">
            <w:pPr>
              <w:pStyle w:val="PargrafodaLista"/>
              <w:numPr>
                <w:ilvl w:val="0"/>
                <w:numId w:val="6"/>
              </w:numPr>
              <w:tabs>
                <w:tab w:val="center" w:pos="4560"/>
              </w:tabs>
              <w:suppressAutoHyphens/>
              <w:spacing w:line="276" w:lineRule="auto"/>
              <w:jc w:val="both"/>
              <w:rPr>
                <w:rFonts w:asciiTheme="majorHAnsi" w:hAnsiTheme="majorHAnsi" w:cstheme="majorHAnsi"/>
                <w:spacing w:val="-3"/>
                <w:sz w:val="22"/>
                <w:szCs w:val="22"/>
                <w:lang w:val="en-US"/>
              </w:rPr>
            </w:pPr>
            <w:r>
              <w:rPr>
                <w:rFonts w:asciiTheme="majorHAnsi" w:hAnsiTheme="majorHAnsi" w:cstheme="majorHAnsi"/>
                <w:spacing w:val="-3"/>
                <w:sz w:val="22"/>
                <w:szCs w:val="22"/>
                <w:lang w:val="en-US"/>
              </w:rPr>
              <w:t xml:space="preserve">Acquisition of 1 pallet scanner for non-intrusive customs control at entry </w:t>
            </w:r>
            <w:r w:rsidR="007C49B1">
              <w:rPr>
                <w:rFonts w:asciiTheme="majorHAnsi" w:hAnsiTheme="majorHAnsi" w:cstheme="majorHAnsi"/>
                <w:spacing w:val="-3"/>
                <w:sz w:val="22"/>
                <w:szCs w:val="22"/>
                <w:lang w:val="en-US"/>
              </w:rPr>
              <w:t>o</w:t>
            </w:r>
            <w:r>
              <w:rPr>
                <w:rFonts w:asciiTheme="majorHAnsi" w:hAnsiTheme="majorHAnsi" w:cstheme="majorHAnsi"/>
                <w:spacing w:val="-3"/>
                <w:sz w:val="22"/>
                <w:szCs w:val="22"/>
                <w:lang w:val="en-US"/>
              </w:rPr>
              <w:t xml:space="preserve">f good at the airport/Port and training in operationalization by </w:t>
            </w:r>
            <w:r w:rsidR="007C49B1">
              <w:rPr>
                <w:rFonts w:asciiTheme="majorHAnsi" w:hAnsiTheme="majorHAnsi" w:cstheme="majorHAnsi"/>
                <w:spacing w:val="-3"/>
                <w:sz w:val="22"/>
                <w:szCs w:val="22"/>
                <w:lang w:val="en-US"/>
              </w:rPr>
              <w:t xml:space="preserve">the </w:t>
            </w:r>
            <w:r>
              <w:rPr>
                <w:rFonts w:asciiTheme="majorHAnsi" w:hAnsiTheme="majorHAnsi" w:cstheme="majorHAnsi"/>
                <w:spacing w:val="-3"/>
                <w:sz w:val="22"/>
                <w:szCs w:val="22"/>
                <w:lang w:val="en-US"/>
              </w:rPr>
              <w:t>supplier</w:t>
            </w:r>
            <w:r w:rsidR="007C49B1">
              <w:rPr>
                <w:rFonts w:asciiTheme="majorHAnsi" w:hAnsiTheme="majorHAnsi" w:cstheme="majorHAnsi"/>
                <w:spacing w:val="-3"/>
                <w:sz w:val="22"/>
                <w:szCs w:val="22"/>
                <w:lang w:val="en-US"/>
              </w:rPr>
              <w:t xml:space="preserve"> – OCB (Open Competitive Bidding) </w:t>
            </w:r>
          </w:p>
          <w:p w14:paraId="636A8F91" w14:textId="48E7FA7C" w:rsidR="007C49B1" w:rsidRDefault="007C49B1" w:rsidP="003C62DB">
            <w:pPr>
              <w:pStyle w:val="PargrafodaLista"/>
              <w:numPr>
                <w:ilvl w:val="0"/>
                <w:numId w:val="6"/>
              </w:numPr>
              <w:tabs>
                <w:tab w:val="center" w:pos="4560"/>
              </w:tabs>
              <w:suppressAutoHyphens/>
              <w:spacing w:line="276" w:lineRule="auto"/>
              <w:jc w:val="both"/>
              <w:rPr>
                <w:rFonts w:asciiTheme="majorHAnsi" w:hAnsiTheme="majorHAnsi" w:cstheme="majorHAnsi"/>
                <w:spacing w:val="-3"/>
                <w:sz w:val="22"/>
                <w:szCs w:val="22"/>
                <w:lang w:val="en-US"/>
              </w:rPr>
            </w:pPr>
            <w:r>
              <w:rPr>
                <w:rFonts w:asciiTheme="majorHAnsi" w:hAnsiTheme="majorHAnsi" w:cstheme="majorHAnsi"/>
                <w:spacing w:val="-3"/>
                <w:sz w:val="22"/>
                <w:szCs w:val="22"/>
                <w:lang w:val="en-US"/>
              </w:rPr>
              <w:t>Acquisition of SAFE-e (integrated financial management system) application development, including, (a) supply of ICT equipment, (b) staff training and (c) system interface with core government systems - OCB (Open Competitive Bidding)</w:t>
            </w:r>
          </w:p>
          <w:p w14:paraId="0CEC7257" w14:textId="1ABF0728" w:rsidR="007C49B1" w:rsidRDefault="007C49B1" w:rsidP="003C62DB">
            <w:pPr>
              <w:pStyle w:val="PargrafodaLista"/>
              <w:numPr>
                <w:ilvl w:val="0"/>
                <w:numId w:val="6"/>
              </w:numPr>
              <w:tabs>
                <w:tab w:val="center" w:pos="4560"/>
              </w:tabs>
              <w:suppressAutoHyphens/>
              <w:spacing w:line="276" w:lineRule="auto"/>
              <w:jc w:val="both"/>
              <w:rPr>
                <w:rFonts w:asciiTheme="majorHAnsi" w:hAnsiTheme="majorHAnsi" w:cstheme="majorHAnsi"/>
                <w:spacing w:val="-3"/>
                <w:sz w:val="22"/>
                <w:szCs w:val="22"/>
                <w:lang w:val="en-US"/>
              </w:rPr>
            </w:pPr>
            <w:r>
              <w:rPr>
                <w:rFonts w:asciiTheme="majorHAnsi" w:hAnsiTheme="majorHAnsi" w:cstheme="majorHAnsi"/>
                <w:spacing w:val="-3"/>
                <w:sz w:val="22"/>
                <w:szCs w:val="22"/>
                <w:lang w:val="en-US"/>
              </w:rPr>
              <w:t xml:space="preserve">Procurement of IT Equipment and software for customs and Procurement Authority - OCB (Open Competitive Bidding) </w:t>
            </w:r>
          </w:p>
          <w:p w14:paraId="46F55503" w14:textId="428208EE" w:rsidR="00E047BD" w:rsidRPr="00F366B8" w:rsidRDefault="00E047BD" w:rsidP="00F366B8">
            <w:pPr>
              <w:tabs>
                <w:tab w:val="center" w:pos="4560"/>
              </w:tabs>
              <w:suppressAutoHyphens/>
              <w:spacing w:line="276" w:lineRule="auto"/>
              <w:ind w:left="720"/>
              <w:jc w:val="both"/>
              <w:rPr>
                <w:rFonts w:asciiTheme="majorHAnsi" w:hAnsiTheme="majorHAnsi" w:cstheme="majorHAnsi"/>
                <w:spacing w:val="-3"/>
                <w:sz w:val="22"/>
                <w:szCs w:val="22"/>
                <w:lang w:val="en-US"/>
              </w:rPr>
            </w:pPr>
          </w:p>
          <w:p w14:paraId="50ABE364" w14:textId="78F3D45B" w:rsidR="00E047BD" w:rsidRPr="00F366B8" w:rsidRDefault="00E047BD" w:rsidP="00943057">
            <w:pPr>
              <w:pStyle w:val="PargrafodaLista"/>
              <w:numPr>
                <w:ilvl w:val="0"/>
                <w:numId w:val="4"/>
              </w:numPr>
              <w:tabs>
                <w:tab w:val="center" w:pos="4560"/>
              </w:tabs>
              <w:suppressAutoHyphens/>
              <w:spacing w:line="276" w:lineRule="auto"/>
              <w:jc w:val="both"/>
              <w:rPr>
                <w:rFonts w:asciiTheme="majorHAnsi" w:hAnsiTheme="majorHAnsi" w:cstheme="majorHAnsi"/>
                <w:spacing w:val="-3"/>
                <w:sz w:val="22"/>
                <w:szCs w:val="22"/>
                <w:lang w:val="en-US"/>
              </w:rPr>
            </w:pPr>
            <w:r w:rsidRPr="00560178">
              <w:rPr>
                <w:rFonts w:asciiTheme="majorHAnsi" w:hAnsiTheme="majorHAnsi" w:cstheme="majorHAnsi"/>
                <w:spacing w:val="-3"/>
                <w:sz w:val="22"/>
                <w:szCs w:val="22"/>
                <w:lang w:val="en-US"/>
              </w:rPr>
              <w:t>The procurement of goods and services under the project will be carried out in accordance with the Bank's Rules of Procedure for the Procurement of Goods and Services. The procurement of consultancy services will be in accordance with the Bank's Regulations on the Recruitment of Consultants. The tender documents are expected to be available in the first quarter of 2024.</w:t>
            </w:r>
          </w:p>
          <w:p w14:paraId="182AAA61" w14:textId="77777777" w:rsidR="00897A4A" w:rsidRPr="00560178" w:rsidRDefault="00897A4A" w:rsidP="00F366B8">
            <w:pPr>
              <w:rPr>
                <w:highlight w:val="green"/>
                <w:lang w:val="en-US"/>
              </w:rPr>
            </w:pPr>
          </w:p>
          <w:p w14:paraId="37D71412" w14:textId="77777777" w:rsidR="00897A4A" w:rsidRPr="00560178" w:rsidRDefault="00897A4A" w:rsidP="00897A4A">
            <w:pPr>
              <w:tabs>
                <w:tab w:val="center" w:pos="4560"/>
              </w:tabs>
              <w:suppressAutoHyphens/>
              <w:spacing w:line="276" w:lineRule="auto"/>
              <w:jc w:val="both"/>
              <w:rPr>
                <w:rFonts w:asciiTheme="majorHAnsi" w:hAnsiTheme="majorHAnsi" w:cstheme="majorHAnsi"/>
                <w:spacing w:val="-3"/>
                <w:sz w:val="22"/>
                <w:szCs w:val="22"/>
                <w:lang w:val="en-US"/>
              </w:rPr>
            </w:pPr>
            <w:r w:rsidRPr="00CF1EE6">
              <w:rPr>
                <w:rFonts w:asciiTheme="majorHAnsi" w:hAnsiTheme="majorHAnsi" w:cstheme="majorHAnsi"/>
                <w:spacing w:val="-3"/>
                <w:sz w:val="22"/>
                <w:szCs w:val="22"/>
              </w:rPr>
              <w:t>8. Interested bidders may obtain more information and should confirm their interest by contacting:</w:t>
            </w:r>
          </w:p>
          <w:p w14:paraId="5129BF4B" w14:textId="3CA13F13" w:rsidR="00897A4A" w:rsidRPr="00803715" w:rsidRDefault="00897A4A" w:rsidP="00897A4A">
            <w:pPr>
              <w:tabs>
                <w:tab w:val="center" w:pos="4560"/>
              </w:tabs>
              <w:suppressAutoHyphens/>
              <w:spacing w:line="276" w:lineRule="auto"/>
              <w:jc w:val="both"/>
              <w:rPr>
                <w:rFonts w:asciiTheme="majorHAnsi" w:hAnsiTheme="majorHAnsi" w:cstheme="majorHAnsi"/>
                <w:spacing w:val="-3"/>
                <w:sz w:val="22"/>
                <w:szCs w:val="22"/>
                <w:lang w:val="fr-BE"/>
              </w:rPr>
            </w:pPr>
            <w:r w:rsidRPr="00CF1EE6">
              <w:rPr>
                <w:rFonts w:asciiTheme="majorHAnsi" w:hAnsiTheme="majorHAnsi" w:cstheme="majorHAnsi"/>
                <w:spacing w:val="-3"/>
                <w:sz w:val="22"/>
                <w:szCs w:val="22"/>
              </w:rPr>
              <w:t xml:space="preserve">The project implementation team, Ministry of Planning and Finance, Planning Directorate Building, 1st floor, Largo das Alfândegas-São Tomé-São Tomé and Príncipe. E-mail: </w:t>
            </w:r>
            <w:hyperlink r:id="rId9" w:history="1">
              <w:r w:rsidRPr="00803715">
                <w:rPr>
                  <w:rStyle w:val="Hiperligao"/>
                  <w:rFonts w:asciiTheme="majorHAnsi" w:hAnsiTheme="majorHAnsi" w:cstheme="majorHAnsi"/>
                  <w:spacing w:val="-3"/>
                  <w:sz w:val="22"/>
                  <w:szCs w:val="22"/>
                </w:rPr>
                <w:t xml:space="preserve">Capemstp@gmail.com </w:t>
              </w:r>
            </w:hyperlink>
            <w:r w:rsidRPr="00803715">
              <w:rPr>
                <w:rFonts w:asciiTheme="majorHAnsi" w:hAnsiTheme="majorHAnsi" w:cstheme="majorHAnsi"/>
                <w:spacing w:val="-3"/>
                <w:sz w:val="22"/>
                <w:szCs w:val="22"/>
              </w:rPr>
              <w:t xml:space="preserve">or monizfilipe@yahoo.com.; </w:t>
            </w:r>
            <w:r w:rsidRPr="00803715">
              <w:rPr>
                <w:rFonts w:asciiTheme="minorHAnsi" w:hAnsiTheme="minorHAnsi" w:cstheme="minorHAnsi"/>
                <w:spacing w:val="-3"/>
                <w:sz w:val="22"/>
                <w:szCs w:val="22"/>
              </w:rPr>
              <w:t>Mobile: +239 9977073</w:t>
            </w:r>
            <w:r>
              <w:rPr>
                <w:rFonts w:asciiTheme="majorHAnsi" w:hAnsiTheme="majorHAnsi" w:cstheme="majorHAnsi"/>
                <w:spacing w:val="-3"/>
                <w:sz w:val="22"/>
                <w:szCs w:val="22"/>
              </w:rPr>
              <w:t xml:space="preserve">; Contact person: </w:t>
            </w:r>
            <w:r w:rsidRPr="00A46904">
              <w:rPr>
                <w:rFonts w:asciiTheme="majorHAnsi" w:hAnsiTheme="majorHAnsi" w:cstheme="majorHAnsi"/>
                <w:b/>
                <w:bCs/>
                <w:spacing w:val="-3"/>
                <w:sz w:val="22"/>
                <w:szCs w:val="22"/>
              </w:rPr>
              <w:t xml:space="preserve">Manuel </w:t>
            </w:r>
            <w:r w:rsidRPr="00A46904">
              <w:rPr>
                <w:rFonts w:asciiTheme="minorHAnsi" w:hAnsiTheme="minorHAnsi" w:cstheme="minorHAnsi"/>
                <w:b/>
                <w:bCs/>
                <w:spacing w:val="-3"/>
                <w:sz w:val="22"/>
                <w:szCs w:val="22"/>
              </w:rPr>
              <w:t>Filipe Moniz</w:t>
            </w:r>
            <w:r>
              <w:rPr>
                <w:spacing w:val="-3"/>
                <w:sz w:val="22"/>
                <w:szCs w:val="22"/>
              </w:rPr>
              <w:t>.</w:t>
            </w:r>
          </w:p>
          <w:p w14:paraId="12D1EC96" w14:textId="338F81F8" w:rsidR="001C02E0" w:rsidRPr="00F32FC5" w:rsidRDefault="001C02E0" w:rsidP="001C02E0">
            <w:pPr>
              <w:tabs>
                <w:tab w:val="left" w:pos="-720"/>
                <w:tab w:val="left" w:pos="0"/>
                <w:tab w:val="left" w:pos="720"/>
                <w:tab w:val="left" w:pos="1440"/>
                <w:tab w:val="left" w:pos="2160"/>
              </w:tabs>
              <w:suppressAutoHyphens/>
              <w:spacing w:after="54"/>
              <w:ind w:left="2880" w:hanging="2880"/>
              <w:rPr>
                <w:spacing w:val="-3"/>
                <w:lang w:val="fr-BE"/>
              </w:rPr>
            </w:pPr>
            <w:r w:rsidRPr="00F32FC5">
              <w:rPr>
                <w:spacing w:val="-3"/>
                <w:lang w:val="fr-BE"/>
              </w:rPr>
              <w:t xml:space="preserve"> </w:t>
            </w:r>
          </w:p>
        </w:tc>
      </w:tr>
    </w:tbl>
    <w:p w14:paraId="6B81196B" w14:textId="37772043" w:rsidR="0049503B" w:rsidRPr="00F32FC5" w:rsidRDefault="0049503B" w:rsidP="00462D0D">
      <w:pPr>
        <w:rPr>
          <w:lang w:val="fr-BE"/>
        </w:rPr>
      </w:pPr>
    </w:p>
    <w:sectPr w:rsidR="0049503B" w:rsidRPr="00F32FC5">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BC35C3" w14:textId="77777777" w:rsidR="00E7761D" w:rsidRDefault="00E7761D" w:rsidP="00882DD0">
      <w:r>
        <w:separator/>
      </w:r>
    </w:p>
  </w:endnote>
  <w:endnote w:type="continuationSeparator" w:id="0">
    <w:p w14:paraId="50D35FFC" w14:textId="77777777" w:rsidR="00E7761D" w:rsidRDefault="00E7761D" w:rsidP="00882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0116574"/>
      <w:docPartObj>
        <w:docPartGallery w:val="Page Numbers (Bottom of Page)"/>
        <w:docPartUnique/>
      </w:docPartObj>
    </w:sdtPr>
    <w:sdtEndPr/>
    <w:sdtContent>
      <w:p w14:paraId="122CD93F" w14:textId="0F437B25" w:rsidR="00882DD0" w:rsidRDefault="00882DD0">
        <w:pPr>
          <w:pStyle w:val="Rodap"/>
          <w:jc w:val="right"/>
        </w:pPr>
        <w:r>
          <w:fldChar w:fldCharType="begin"/>
        </w:r>
        <w:r>
          <w:instrText>PAGE   \* MERGEFORMAT</w:instrText>
        </w:r>
        <w:r>
          <w:fldChar w:fldCharType="separate"/>
        </w:r>
        <w:r w:rsidR="0015450E">
          <w:rPr>
            <w:noProof/>
          </w:rPr>
          <w:t>1</w:t>
        </w:r>
        <w:r>
          <w:fldChar w:fldCharType="end"/>
        </w:r>
      </w:p>
    </w:sdtContent>
  </w:sdt>
  <w:p w14:paraId="7F217B0D" w14:textId="77777777" w:rsidR="00882DD0" w:rsidRDefault="00882DD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B930D1" w14:textId="77777777" w:rsidR="00E7761D" w:rsidRDefault="00E7761D" w:rsidP="00882DD0">
      <w:r>
        <w:separator/>
      </w:r>
    </w:p>
  </w:footnote>
  <w:footnote w:type="continuationSeparator" w:id="0">
    <w:p w14:paraId="2EBC9EEA" w14:textId="77777777" w:rsidR="00E7761D" w:rsidRDefault="00E7761D" w:rsidP="00882D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F76E5"/>
    <w:multiLevelType w:val="hybridMultilevel"/>
    <w:tmpl w:val="E5242D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5B6657"/>
    <w:multiLevelType w:val="hybridMultilevel"/>
    <w:tmpl w:val="067E91E0"/>
    <w:lvl w:ilvl="0" w:tplc="AEEAD0B4">
      <w:start w:val="1"/>
      <w:numFmt w:val="lowerLetter"/>
      <w:lvlText w:val="(%1)"/>
      <w:lvlJc w:val="left"/>
      <w:pPr>
        <w:ind w:left="705" w:hanging="705"/>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 w15:restartNumberingAfterBreak="0">
    <w:nsid w:val="07493EAC"/>
    <w:multiLevelType w:val="hybridMultilevel"/>
    <w:tmpl w:val="6164C94C"/>
    <w:lvl w:ilvl="0" w:tplc="0816000F">
      <w:start w:val="6"/>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3" w15:restartNumberingAfterBreak="0">
    <w:nsid w:val="362262AC"/>
    <w:multiLevelType w:val="hybridMultilevel"/>
    <w:tmpl w:val="0CCA21B2"/>
    <w:lvl w:ilvl="0" w:tplc="0816000F">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4" w15:restartNumberingAfterBreak="0">
    <w:nsid w:val="516710B5"/>
    <w:multiLevelType w:val="hybridMultilevel"/>
    <w:tmpl w:val="1FF8B4F6"/>
    <w:lvl w:ilvl="0" w:tplc="7D4E9D6E">
      <w:start w:val="1"/>
      <w:numFmt w:val="lowerLetter"/>
      <w:lvlText w:val="%1)"/>
      <w:lvlJc w:val="left"/>
      <w:pPr>
        <w:ind w:left="1065" w:hanging="360"/>
      </w:pPr>
      <w:rPr>
        <w:rFonts w:hint="default"/>
      </w:rPr>
    </w:lvl>
    <w:lvl w:ilvl="1" w:tplc="08160019" w:tentative="1">
      <w:start w:val="1"/>
      <w:numFmt w:val="lowerLetter"/>
      <w:lvlText w:val="%2."/>
      <w:lvlJc w:val="left"/>
      <w:pPr>
        <w:ind w:left="1785" w:hanging="360"/>
      </w:pPr>
    </w:lvl>
    <w:lvl w:ilvl="2" w:tplc="0816001B" w:tentative="1">
      <w:start w:val="1"/>
      <w:numFmt w:val="lowerRoman"/>
      <w:lvlText w:val="%3."/>
      <w:lvlJc w:val="right"/>
      <w:pPr>
        <w:ind w:left="2505" w:hanging="180"/>
      </w:pPr>
    </w:lvl>
    <w:lvl w:ilvl="3" w:tplc="0816000F" w:tentative="1">
      <w:start w:val="1"/>
      <w:numFmt w:val="decimal"/>
      <w:lvlText w:val="%4."/>
      <w:lvlJc w:val="left"/>
      <w:pPr>
        <w:ind w:left="3225" w:hanging="360"/>
      </w:pPr>
    </w:lvl>
    <w:lvl w:ilvl="4" w:tplc="08160019" w:tentative="1">
      <w:start w:val="1"/>
      <w:numFmt w:val="lowerLetter"/>
      <w:lvlText w:val="%5."/>
      <w:lvlJc w:val="left"/>
      <w:pPr>
        <w:ind w:left="3945" w:hanging="360"/>
      </w:pPr>
    </w:lvl>
    <w:lvl w:ilvl="5" w:tplc="0816001B" w:tentative="1">
      <w:start w:val="1"/>
      <w:numFmt w:val="lowerRoman"/>
      <w:lvlText w:val="%6."/>
      <w:lvlJc w:val="right"/>
      <w:pPr>
        <w:ind w:left="4665" w:hanging="180"/>
      </w:pPr>
    </w:lvl>
    <w:lvl w:ilvl="6" w:tplc="0816000F" w:tentative="1">
      <w:start w:val="1"/>
      <w:numFmt w:val="decimal"/>
      <w:lvlText w:val="%7."/>
      <w:lvlJc w:val="left"/>
      <w:pPr>
        <w:ind w:left="5385" w:hanging="360"/>
      </w:pPr>
    </w:lvl>
    <w:lvl w:ilvl="7" w:tplc="08160019" w:tentative="1">
      <w:start w:val="1"/>
      <w:numFmt w:val="lowerLetter"/>
      <w:lvlText w:val="%8."/>
      <w:lvlJc w:val="left"/>
      <w:pPr>
        <w:ind w:left="6105" w:hanging="360"/>
      </w:pPr>
    </w:lvl>
    <w:lvl w:ilvl="8" w:tplc="0816001B" w:tentative="1">
      <w:start w:val="1"/>
      <w:numFmt w:val="lowerRoman"/>
      <w:lvlText w:val="%9."/>
      <w:lvlJc w:val="right"/>
      <w:pPr>
        <w:ind w:left="6825" w:hanging="180"/>
      </w:pPr>
    </w:lvl>
  </w:abstractNum>
  <w:abstractNum w:abstractNumId="5" w15:restartNumberingAfterBreak="0">
    <w:nsid w:val="6F387EBC"/>
    <w:multiLevelType w:val="hybridMultilevel"/>
    <w:tmpl w:val="4CC0D9F8"/>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03B"/>
    <w:rsid w:val="00011F6D"/>
    <w:rsid w:val="0001446E"/>
    <w:rsid w:val="0009390F"/>
    <w:rsid w:val="0015450E"/>
    <w:rsid w:val="001C02E0"/>
    <w:rsid w:val="00270F3E"/>
    <w:rsid w:val="002E2E60"/>
    <w:rsid w:val="003B5342"/>
    <w:rsid w:val="003C62DB"/>
    <w:rsid w:val="0041608C"/>
    <w:rsid w:val="00462D0D"/>
    <w:rsid w:val="00475E4A"/>
    <w:rsid w:val="0049503B"/>
    <w:rsid w:val="004C50C6"/>
    <w:rsid w:val="00533E87"/>
    <w:rsid w:val="00560178"/>
    <w:rsid w:val="005822C1"/>
    <w:rsid w:val="005B663E"/>
    <w:rsid w:val="005F2E48"/>
    <w:rsid w:val="00657341"/>
    <w:rsid w:val="00780B4B"/>
    <w:rsid w:val="007C49B1"/>
    <w:rsid w:val="007D37F5"/>
    <w:rsid w:val="00855B68"/>
    <w:rsid w:val="00855C2B"/>
    <w:rsid w:val="00882DD0"/>
    <w:rsid w:val="00897A4A"/>
    <w:rsid w:val="00943057"/>
    <w:rsid w:val="00953072"/>
    <w:rsid w:val="00AD73E5"/>
    <w:rsid w:val="00AF3E02"/>
    <w:rsid w:val="00B17291"/>
    <w:rsid w:val="00B67B12"/>
    <w:rsid w:val="00C86B6B"/>
    <w:rsid w:val="00E047BD"/>
    <w:rsid w:val="00E33225"/>
    <w:rsid w:val="00E43A6F"/>
    <w:rsid w:val="00E7761D"/>
    <w:rsid w:val="00F32FC5"/>
    <w:rsid w:val="00F366B8"/>
    <w:rsid w:val="00F77693"/>
    <w:rsid w:val="00FF6B50"/>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03027F"/>
  <w15:chartTrackingRefBased/>
  <w15:docId w15:val="{9E918829-E844-4C42-AFD6-101D54A88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2D0D"/>
    <w:pPr>
      <w:widowControl w:val="0"/>
      <w:spacing w:after="0" w:line="240" w:lineRule="auto"/>
    </w:pPr>
    <w:rPr>
      <w:rFonts w:ascii="CG Times" w:eastAsia="Times New Roman" w:hAnsi="CG Times" w:cs="Times New Roman"/>
      <w:kern w:val="0"/>
      <w:sz w:val="24"/>
      <w:szCs w:val="20"/>
      <w:lang w:val="en-GB"/>
      <w14:ligatures w14:val="none"/>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elha">
    <w:name w:val="Table Grid"/>
    <w:basedOn w:val="Tabelanormal"/>
    <w:uiPriority w:val="39"/>
    <w:rsid w:val="004950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linha">
    <w:name w:val="line number"/>
    <w:basedOn w:val="Tipodeletrapredefinidodopargrafo"/>
    <w:uiPriority w:val="99"/>
    <w:semiHidden/>
    <w:unhideWhenUsed/>
    <w:rsid w:val="0049503B"/>
  </w:style>
  <w:style w:type="paragraph" w:styleId="HTMLpr-formatado">
    <w:name w:val="HTML Preformatted"/>
    <w:basedOn w:val="Normal"/>
    <w:link w:val="HTMLpr-formatadoCarter"/>
    <w:uiPriority w:val="99"/>
    <w:semiHidden/>
    <w:unhideWhenUsed/>
    <w:rsid w:val="001C02E0"/>
    <w:rPr>
      <w:rFonts w:ascii="Consolas" w:hAnsi="Consolas"/>
      <w:sz w:val="20"/>
    </w:rPr>
  </w:style>
  <w:style w:type="character" w:customStyle="1" w:styleId="HTMLpr-formatadoCarter">
    <w:name w:val="HTML pré-formatado Caráter"/>
    <w:basedOn w:val="Tipodeletrapredefinidodopargrafo"/>
    <w:link w:val="HTMLpr-formatado"/>
    <w:uiPriority w:val="99"/>
    <w:semiHidden/>
    <w:rsid w:val="001C02E0"/>
    <w:rPr>
      <w:rFonts w:ascii="Consolas" w:eastAsia="Times New Roman" w:hAnsi="Consolas" w:cs="Times New Roman"/>
      <w:kern w:val="0"/>
      <w:sz w:val="20"/>
      <w:szCs w:val="20"/>
      <w:lang w:val="en-GB"/>
      <w14:ligatures w14:val="none"/>
    </w:rPr>
  </w:style>
  <w:style w:type="character" w:styleId="Hiperligao">
    <w:name w:val="Hyperlink"/>
    <w:uiPriority w:val="99"/>
    <w:unhideWhenUsed/>
    <w:rsid w:val="00897A4A"/>
    <w:rPr>
      <w:color w:val="0563C1"/>
      <w:u w:val="single"/>
    </w:rPr>
  </w:style>
  <w:style w:type="paragraph" w:styleId="PargrafodaLista">
    <w:name w:val="List Paragraph"/>
    <w:basedOn w:val="Normal"/>
    <w:uiPriority w:val="34"/>
    <w:qFormat/>
    <w:rsid w:val="00897A4A"/>
    <w:pPr>
      <w:ind w:left="720"/>
      <w:contextualSpacing/>
    </w:pPr>
    <w:rPr>
      <w:lang w:val="fr"/>
    </w:rPr>
  </w:style>
  <w:style w:type="paragraph" w:styleId="Cabealho">
    <w:name w:val="header"/>
    <w:basedOn w:val="Normal"/>
    <w:link w:val="CabealhoCarter"/>
    <w:uiPriority w:val="99"/>
    <w:unhideWhenUsed/>
    <w:rsid w:val="00882DD0"/>
    <w:pPr>
      <w:tabs>
        <w:tab w:val="center" w:pos="4252"/>
        <w:tab w:val="right" w:pos="8504"/>
      </w:tabs>
    </w:pPr>
  </w:style>
  <w:style w:type="character" w:customStyle="1" w:styleId="CabealhoCarter">
    <w:name w:val="Cabeçalho Caráter"/>
    <w:basedOn w:val="Tipodeletrapredefinidodopargrafo"/>
    <w:link w:val="Cabealho"/>
    <w:uiPriority w:val="99"/>
    <w:rsid w:val="00882DD0"/>
    <w:rPr>
      <w:rFonts w:ascii="CG Times" w:eastAsia="Times New Roman" w:hAnsi="CG Times" w:cs="Times New Roman"/>
      <w:kern w:val="0"/>
      <w:sz w:val="24"/>
      <w:szCs w:val="20"/>
      <w:lang w:val="en-GB"/>
      <w14:ligatures w14:val="none"/>
    </w:rPr>
  </w:style>
  <w:style w:type="paragraph" w:styleId="Rodap">
    <w:name w:val="footer"/>
    <w:basedOn w:val="Normal"/>
    <w:link w:val="RodapCarter"/>
    <w:uiPriority w:val="99"/>
    <w:unhideWhenUsed/>
    <w:rsid w:val="00882DD0"/>
    <w:pPr>
      <w:tabs>
        <w:tab w:val="center" w:pos="4252"/>
        <w:tab w:val="right" w:pos="8504"/>
      </w:tabs>
    </w:pPr>
  </w:style>
  <w:style w:type="character" w:customStyle="1" w:styleId="RodapCarter">
    <w:name w:val="Rodapé Caráter"/>
    <w:basedOn w:val="Tipodeletrapredefinidodopargrafo"/>
    <w:link w:val="Rodap"/>
    <w:uiPriority w:val="99"/>
    <w:rsid w:val="00882DD0"/>
    <w:rPr>
      <w:rFonts w:ascii="CG Times" w:eastAsia="Times New Roman" w:hAnsi="CG Times" w:cs="Times New Roman"/>
      <w:kern w:val="0"/>
      <w:sz w:val="24"/>
      <w:szCs w:val="20"/>
      <w:lang w:val="en-GB"/>
      <w14:ligatures w14:val="none"/>
    </w:rPr>
  </w:style>
  <w:style w:type="character" w:styleId="TextodoMarcadordePosio">
    <w:name w:val="Placeholder Text"/>
    <w:basedOn w:val="Tipodeletrapredefinidodopargrafo"/>
    <w:uiPriority w:val="99"/>
    <w:semiHidden/>
    <w:rsid w:val="00560178"/>
    <w:rPr>
      <w:color w:val="808080"/>
    </w:rPr>
  </w:style>
  <w:style w:type="paragraph" w:styleId="Reviso">
    <w:name w:val="Revision"/>
    <w:hidden/>
    <w:uiPriority w:val="99"/>
    <w:semiHidden/>
    <w:rsid w:val="00560178"/>
    <w:pPr>
      <w:spacing w:after="0" w:line="240" w:lineRule="auto"/>
    </w:pPr>
    <w:rPr>
      <w:rFonts w:ascii="CG Times" w:eastAsia="Times New Roman" w:hAnsi="CG Times" w:cs="Times New Roman"/>
      <w:kern w:val="0"/>
      <w:sz w:val="24"/>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8178767">
      <w:bodyDiv w:val="1"/>
      <w:marLeft w:val="0"/>
      <w:marRight w:val="0"/>
      <w:marTop w:val="0"/>
      <w:marBottom w:val="0"/>
      <w:divBdr>
        <w:top w:val="none" w:sz="0" w:space="0" w:color="auto"/>
        <w:left w:val="none" w:sz="0" w:space="0" w:color="auto"/>
        <w:bottom w:val="none" w:sz="0" w:space="0" w:color="auto"/>
        <w:right w:val="none" w:sz="0" w:space="0" w:color="auto"/>
      </w:divBdr>
    </w:div>
    <w:div w:id="1144809942">
      <w:bodyDiv w:val="1"/>
      <w:marLeft w:val="0"/>
      <w:marRight w:val="0"/>
      <w:marTop w:val="0"/>
      <w:marBottom w:val="0"/>
      <w:divBdr>
        <w:top w:val="none" w:sz="0" w:space="0" w:color="auto"/>
        <w:left w:val="none" w:sz="0" w:space="0" w:color="auto"/>
        <w:bottom w:val="none" w:sz="0" w:space="0" w:color="auto"/>
        <w:right w:val="none" w:sz="0" w:space="0" w:color="auto"/>
      </w:divBdr>
    </w:div>
    <w:div w:id="1322268535">
      <w:bodyDiv w:val="1"/>
      <w:marLeft w:val="0"/>
      <w:marRight w:val="0"/>
      <w:marTop w:val="0"/>
      <w:marBottom w:val="0"/>
      <w:divBdr>
        <w:top w:val="none" w:sz="0" w:space="0" w:color="auto"/>
        <w:left w:val="none" w:sz="0" w:space="0" w:color="auto"/>
        <w:bottom w:val="none" w:sz="0" w:space="0" w:color="auto"/>
        <w:right w:val="none" w:sz="0" w:space="0" w:color="auto"/>
      </w:divBdr>
    </w:div>
    <w:div w:id="1801218780">
      <w:bodyDiv w:val="1"/>
      <w:marLeft w:val="0"/>
      <w:marRight w:val="0"/>
      <w:marTop w:val="0"/>
      <w:marBottom w:val="0"/>
      <w:divBdr>
        <w:top w:val="none" w:sz="0" w:space="0" w:color="auto"/>
        <w:left w:val="none" w:sz="0" w:space="0" w:color="auto"/>
        <w:bottom w:val="none" w:sz="0" w:space="0" w:color="auto"/>
        <w:right w:val="none" w:sz="0" w:space="0" w:color="auto"/>
      </w:divBdr>
    </w:div>
    <w:div w:id="1895852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apemstp@gmail.co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1247</Words>
  <Characters>6736</Characters>
  <Application>Microsoft Office Word</Application>
  <DocSecurity>0</DocSecurity>
  <Lines>56</Lines>
  <Paragraphs>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Utilizador</dc:creator>
  <cp:keywords/>
  <dc:description/>
  <cp:lastModifiedBy>RICARDO NETO</cp:lastModifiedBy>
  <cp:revision>2</cp:revision>
  <dcterms:created xsi:type="dcterms:W3CDTF">2024-03-03T12:34:00Z</dcterms:created>
  <dcterms:modified xsi:type="dcterms:W3CDTF">2024-03-03T12:34:00Z</dcterms:modified>
</cp:coreProperties>
</file>